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32C275CF" w:rsidR="003F3A41" w:rsidRPr="00500C4E" w:rsidRDefault="00A57D36" w:rsidP="00A57D36">
      <w:pPr>
        <w:pStyle w:val="WPnumber"/>
      </w:pPr>
      <w:bookmarkStart w:id="0" w:name="_Toc153189647"/>
      <w:bookmarkStart w:id="1" w:name="_Toc21400308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Content>
          <w:r w:rsidR="003E7E49">
            <w:t>SCE17HC060</w:t>
          </w:r>
        </w:sdtContent>
      </w:sdt>
    </w:p>
    <w:bookmarkEnd w:id="0"/>
    <w:p w14:paraId="7601CE2F" w14:textId="749E93C6" w:rsidR="00DA690B" w:rsidRPr="00500C4E" w:rsidRDefault="008F62A6"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Content>
          <w:r w:rsidR="00435731">
            <w:rPr>
              <w:rStyle w:val="CaptionChar"/>
              <w:rFonts w:asciiTheme="minorHAnsi" w:hAnsiTheme="minorHAnsi" w:cstheme="minorHAnsi"/>
              <w:b/>
              <w:bCs w:val="0"/>
              <w:sz w:val="48"/>
              <w:szCs w:val="48"/>
            </w:rPr>
            <w:t>Revision 1</w:t>
          </w:r>
        </w:sdtContent>
      </w:sdt>
    </w:p>
    <w:p w14:paraId="3E4FD8A9" w14:textId="77777777" w:rsidR="00285A0D" w:rsidRPr="00500C4E" w:rsidRDefault="00285A0D" w:rsidP="00DE5758">
      <w:pPr>
        <w:jc w:val="right"/>
        <w:rPr>
          <w:rFonts w:cstheme="minorHAnsi"/>
          <w:b/>
          <w:sz w:val="48"/>
          <w:szCs w:val="48"/>
        </w:rPr>
      </w:pPr>
    </w:p>
    <w:bookmarkStart w:id="2" w:name="SCE"/>
    <w:p w14:paraId="1837A157" w14:textId="595DB878" w:rsidR="00DA690B" w:rsidRPr="00500C4E" w:rsidRDefault="008F62A6"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Content>
          <w:r w:rsidR="003E7E49">
            <w:rPr>
              <w:rFonts w:cstheme="minorHAnsi"/>
              <w:b/>
              <w:sz w:val="36"/>
              <w:szCs w:val="36"/>
            </w:rPr>
            <w:t>Southern California Edison</w:t>
          </w:r>
        </w:sdtContent>
      </w:sdt>
      <w:bookmarkEnd w:id="2"/>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2D52D21" w14:textId="1D0AA6F7" w:rsidR="00523736" w:rsidRPr="00062485" w:rsidRDefault="00062485" w:rsidP="00062485">
      <w:pPr>
        <w:rPr>
          <w:rFonts w:cstheme="minorHAnsi"/>
          <w:b/>
          <w:sz w:val="72"/>
          <w:szCs w:val="72"/>
        </w:rPr>
        <w:sectPr w:rsidR="00523736" w:rsidRPr="00062485">
          <w:footerReference w:type="default" r:id="rId9"/>
          <w:pgSz w:w="12240" w:h="15840"/>
          <w:pgMar w:top="1440" w:right="1440" w:bottom="1440" w:left="1440" w:header="720" w:footer="720" w:gutter="0"/>
          <w:cols w:space="720"/>
          <w:docGrid w:linePitch="360"/>
        </w:sectPr>
      </w:pPr>
      <w:r>
        <w:rPr>
          <w:rFonts w:cstheme="minorHAnsi"/>
          <w:b/>
          <w:sz w:val="72"/>
          <w:szCs w:val="72"/>
        </w:rPr>
        <w:lastRenderedPageBreak/>
        <w:t>Classroom HVAC Occupancy Sensor</w:t>
      </w:r>
      <w:r w:rsidR="00DA690B" w:rsidRPr="00500C4E">
        <w:rPr>
          <w:rFonts w:cstheme="minorHAnsi"/>
          <w:b/>
          <w:sz w:val="72"/>
          <w:szCs w:val="72"/>
        </w:rPr>
        <w:t xml:space="preserve"> </w:t>
      </w:r>
    </w:p>
    <w:p w14:paraId="1730FE04" w14:textId="77777777" w:rsidR="00290ED8" w:rsidRPr="00500C4E" w:rsidRDefault="00290ED8" w:rsidP="00AC5309">
      <w:pPr>
        <w:pStyle w:val="Heading1"/>
      </w:pPr>
      <w:bookmarkStart w:id="3" w:name="_Toc304800192"/>
      <w:bookmarkStart w:id="4" w:name="_Toc324318330"/>
      <w:bookmarkStart w:id="5" w:name="_Toc324340474"/>
      <w:bookmarkStart w:id="6" w:name="_Toc324433427"/>
      <w:r w:rsidRPr="00500C4E">
        <w:lastRenderedPageBreak/>
        <w:t>At-a-Glance Summary</w:t>
      </w:r>
      <w:bookmarkEnd w:id="3"/>
      <w:bookmarkEnd w:id="4"/>
      <w:bookmarkEnd w:id="5"/>
      <w:bookmarkEnd w:id="6"/>
    </w:p>
    <w:tbl>
      <w:tblPr>
        <w:tblStyle w:val="TableGrid1"/>
        <w:tblW w:w="5000" w:type="pct"/>
        <w:tblLook w:val="01E0" w:firstRow="1" w:lastRow="1" w:firstColumn="1" w:lastColumn="1" w:noHBand="0" w:noVBand="0"/>
      </w:tblPr>
      <w:tblGrid>
        <w:gridCol w:w="3506"/>
        <w:gridCol w:w="5844"/>
      </w:tblGrid>
      <w:tr w:rsidR="00AC5309" w:rsidRPr="00500C4E" w14:paraId="4D3A4AB5" w14:textId="77777777" w:rsidTr="00920905">
        <w:trPr>
          <w:trHeight w:val="465"/>
        </w:trPr>
        <w:tc>
          <w:tcPr>
            <w:tcW w:w="1875" w:type="pct"/>
          </w:tcPr>
          <w:p w14:paraId="4D8DADAE" w14:textId="129EB9BE" w:rsidR="00AC5309" w:rsidRPr="00920905" w:rsidRDefault="00AC5309">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7E579463" w:rsidR="00AC5309" w:rsidRPr="00894AD2" w:rsidRDefault="000E6611" w:rsidP="000E6611">
            <w:pPr>
              <w:rPr>
                <w:rFonts w:cs="Arial"/>
                <w:bCs/>
                <w:szCs w:val="20"/>
              </w:rPr>
            </w:pPr>
            <w:r>
              <w:rPr>
                <w:rFonts w:cs="Arial"/>
                <w:szCs w:val="20"/>
              </w:rPr>
              <w:t xml:space="preserve">AC-68775, </w:t>
            </w:r>
            <w:r w:rsidRPr="000E6611">
              <w:rPr>
                <w:rFonts w:cs="Arial"/>
                <w:szCs w:val="20"/>
              </w:rPr>
              <w:t>AC-20492</w:t>
            </w:r>
            <w:r>
              <w:rPr>
                <w:rFonts w:cs="Arial"/>
                <w:szCs w:val="20"/>
              </w:rPr>
              <w:t xml:space="preserve">, </w:t>
            </w:r>
            <w:r w:rsidRPr="000E6611">
              <w:rPr>
                <w:rFonts w:cs="Arial"/>
                <w:szCs w:val="20"/>
              </w:rPr>
              <w:t>AC-20489</w:t>
            </w:r>
            <w:r>
              <w:rPr>
                <w:rFonts w:cs="Arial"/>
                <w:szCs w:val="20"/>
              </w:rPr>
              <w:t xml:space="preserve">, </w:t>
            </w:r>
            <w:r w:rsidRPr="000E6611">
              <w:rPr>
                <w:rFonts w:cs="Arial"/>
                <w:szCs w:val="20"/>
              </w:rPr>
              <w:t>AC-72229</w:t>
            </w:r>
            <w:r>
              <w:rPr>
                <w:rFonts w:cs="Arial"/>
                <w:szCs w:val="20"/>
              </w:rPr>
              <w:t xml:space="preserve">, </w:t>
            </w:r>
            <w:r w:rsidRPr="000E6611">
              <w:rPr>
                <w:rFonts w:cs="Arial"/>
                <w:szCs w:val="20"/>
              </w:rPr>
              <w:t>AC-20493</w:t>
            </w:r>
            <w:r>
              <w:rPr>
                <w:rFonts w:cs="Arial"/>
                <w:szCs w:val="20"/>
              </w:rPr>
              <w:t xml:space="preserve">, </w:t>
            </w:r>
            <w:r w:rsidRPr="000E6611">
              <w:rPr>
                <w:rFonts w:cs="Arial"/>
                <w:szCs w:val="20"/>
              </w:rPr>
              <w:t>AC-20490</w:t>
            </w:r>
          </w:p>
        </w:tc>
      </w:tr>
      <w:tr w:rsidR="00AC5309" w:rsidRPr="00500C4E" w14:paraId="63B310F0" w14:textId="77777777" w:rsidTr="00920905">
        <w:trPr>
          <w:trHeight w:val="465"/>
        </w:trPr>
        <w:tc>
          <w:tcPr>
            <w:tcW w:w="1875" w:type="pct"/>
          </w:tcPr>
          <w:p w14:paraId="5050E2A3" w14:textId="2CBF1387"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Measure</w:t>
            </w:r>
            <w:r w:rsidR="001D3223" w:rsidRPr="00500C4E">
              <w:rPr>
                <w:rStyle w:val="Strong"/>
                <w:rFonts w:asciiTheme="minorHAnsi" w:hAnsiTheme="minorHAnsi"/>
                <w:sz w:val="20"/>
                <w:szCs w:val="20"/>
              </w:rPr>
              <w:t xml:space="preserve"> </w:t>
            </w:r>
            <w:r w:rsidRPr="00500C4E">
              <w:rPr>
                <w:rStyle w:val="Strong"/>
                <w:rFonts w:asciiTheme="minorHAnsi" w:hAnsiTheme="minorHAnsi"/>
                <w:sz w:val="20"/>
                <w:szCs w:val="20"/>
              </w:rPr>
              <w:t>Description</w:t>
            </w:r>
          </w:p>
        </w:tc>
        <w:tc>
          <w:tcPr>
            <w:tcW w:w="3125" w:type="pct"/>
          </w:tcPr>
          <w:p w14:paraId="4A135BBC" w14:textId="6F7A3EBD" w:rsidR="00290ED8" w:rsidRPr="00894AD2" w:rsidRDefault="00894AD2">
            <w:pPr>
              <w:rPr>
                <w:rFonts w:cs="Arial"/>
                <w:szCs w:val="20"/>
              </w:rPr>
            </w:pPr>
            <w:r w:rsidRPr="00894AD2">
              <w:rPr>
                <w:rFonts w:cstheme="minorHAnsi"/>
                <w:szCs w:val="22"/>
              </w:rPr>
              <w:t xml:space="preserve">Thermostat </w:t>
            </w:r>
            <w:r w:rsidR="00110E2F">
              <w:rPr>
                <w:rFonts w:cstheme="minorHAnsi"/>
                <w:szCs w:val="22"/>
              </w:rPr>
              <w:t>with</w:t>
            </w:r>
            <w:r w:rsidR="00110E2F" w:rsidRPr="00894AD2">
              <w:rPr>
                <w:rFonts w:cstheme="minorHAnsi"/>
                <w:szCs w:val="22"/>
              </w:rPr>
              <w:t xml:space="preserve"> </w:t>
            </w:r>
            <w:r w:rsidRPr="00894AD2">
              <w:rPr>
                <w:rFonts w:cstheme="minorHAnsi"/>
                <w:szCs w:val="22"/>
              </w:rPr>
              <w:t xml:space="preserve">occupancy sensor </w:t>
            </w:r>
            <w:r w:rsidR="00EE6CFD">
              <w:rPr>
                <w:rFonts w:cstheme="minorHAnsi"/>
                <w:szCs w:val="22"/>
              </w:rPr>
              <w:t>controlling</w:t>
            </w:r>
            <w:r w:rsidR="00EE6CFD" w:rsidRPr="00894AD2">
              <w:rPr>
                <w:rFonts w:cstheme="minorHAnsi"/>
                <w:szCs w:val="22"/>
              </w:rPr>
              <w:t xml:space="preserve"> </w:t>
            </w:r>
            <w:r w:rsidRPr="00894AD2">
              <w:rPr>
                <w:rFonts w:cstheme="minorHAnsi"/>
                <w:szCs w:val="22"/>
              </w:rPr>
              <w:t xml:space="preserve">packaged HVAC systems </w:t>
            </w:r>
          </w:p>
        </w:tc>
      </w:tr>
      <w:tr w:rsidR="00AC5309" w:rsidRPr="00500C4E" w14:paraId="085771EF" w14:textId="77777777" w:rsidTr="00920905">
        <w:trPr>
          <w:trHeight w:val="465"/>
        </w:trPr>
        <w:tc>
          <w:tcPr>
            <w:tcW w:w="1875" w:type="pct"/>
          </w:tcPr>
          <w:p w14:paraId="679DB8A0" w14:textId="3D691398"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514FF67E" w:rsidR="00290ED8" w:rsidRPr="00894AD2" w:rsidRDefault="00894AD2">
            <w:pPr>
              <w:rPr>
                <w:rFonts w:cs="Arial"/>
                <w:szCs w:val="20"/>
              </w:rPr>
            </w:pPr>
            <w:r w:rsidRPr="00894AD2">
              <w:rPr>
                <w:rFonts w:cstheme="minorHAnsi"/>
                <w:szCs w:val="22"/>
              </w:rPr>
              <w:t>Thermostat</w:t>
            </w:r>
            <w:r w:rsidR="00EE6CFD">
              <w:rPr>
                <w:rFonts w:cstheme="minorHAnsi"/>
                <w:szCs w:val="22"/>
              </w:rPr>
              <w:t xml:space="preserve"> without occupancy sensor</w:t>
            </w:r>
            <w:r w:rsidRPr="00894AD2">
              <w:rPr>
                <w:rFonts w:cstheme="minorHAnsi"/>
                <w:szCs w:val="22"/>
              </w:rPr>
              <w:t xml:space="preserve"> </w:t>
            </w:r>
            <w:r w:rsidR="00EE6CFD" w:rsidRPr="00894AD2">
              <w:rPr>
                <w:rFonts w:cstheme="minorHAnsi"/>
                <w:szCs w:val="22"/>
              </w:rPr>
              <w:t>controll</w:t>
            </w:r>
            <w:r w:rsidR="00EE6CFD">
              <w:rPr>
                <w:rFonts w:cstheme="minorHAnsi"/>
                <w:szCs w:val="22"/>
              </w:rPr>
              <w:t>ing</w:t>
            </w:r>
            <w:r w:rsidR="0074742A">
              <w:rPr>
                <w:rFonts w:cstheme="minorHAnsi"/>
                <w:szCs w:val="22"/>
              </w:rPr>
              <w:t xml:space="preserve"> </w:t>
            </w:r>
            <w:r w:rsidR="004C02CD" w:rsidRPr="00894AD2">
              <w:rPr>
                <w:rFonts w:cstheme="minorHAnsi"/>
                <w:szCs w:val="22"/>
              </w:rPr>
              <w:t>packaged HVAC</w:t>
            </w:r>
            <w:r w:rsidRPr="00894AD2">
              <w:rPr>
                <w:rFonts w:cstheme="minorHAnsi"/>
                <w:szCs w:val="22"/>
              </w:rPr>
              <w:t xml:space="preserve"> system </w:t>
            </w:r>
          </w:p>
        </w:tc>
      </w:tr>
      <w:tr w:rsidR="00D36798" w:rsidRPr="00500C4E" w14:paraId="5C218003" w14:textId="77777777" w:rsidTr="00920905">
        <w:trPr>
          <w:trHeight w:val="465"/>
        </w:trPr>
        <w:tc>
          <w:tcPr>
            <w:tcW w:w="1875" w:type="pct"/>
          </w:tcPr>
          <w:p w14:paraId="1DBA889C" w14:textId="032192ED" w:rsidR="00D3679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2FCB6682" w:rsidR="00D36798" w:rsidRPr="00894AD2" w:rsidRDefault="00894AD2">
            <w:pPr>
              <w:rPr>
                <w:rFonts w:cs="Arial"/>
                <w:szCs w:val="20"/>
              </w:rPr>
            </w:pPr>
            <w:r w:rsidRPr="00894AD2">
              <w:rPr>
                <w:rFonts w:cs="Arial"/>
                <w:szCs w:val="20"/>
              </w:rPr>
              <w:t xml:space="preserve">Per </w:t>
            </w:r>
            <w:r w:rsidR="00EE6CFD">
              <w:rPr>
                <w:rFonts w:cs="Arial"/>
                <w:szCs w:val="20"/>
              </w:rPr>
              <w:t>Rated Ton</w:t>
            </w:r>
          </w:p>
        </w:tc>
      </w:tr>
      <w:tr w:rsidR="00290ED8" w:rsidRPr="00500C4E" w14:paraId="66C8B424" w14:textId="77777777" w:rsidTr="00920905">
        <w:trPr>
          <w:trHeight w:val="465"/>
        </w:trPr>
        <w:tc>
          <w:tcPr>
            <w:tcW w:w="1875" w:type="pct"/>
          </w:tcPr>
          <w:p w14:paraId="0C38E296" w14:textId="625EE0BE" w:rsidR="00290ED8" w:rsidRPr="00920905" w:rsidRDefault="001C1338">
            <w:pPr>
              <w:rPr>
                <w:rStyle w:val="Strong1"/>
                <w:szCs w:val="20"/>
              </w:rPr>
            </w:pPr>
            <w:r w:rsidRPr="00500C4E">
              <w:rPr>
                <w:rStyle w:val="Strong"/>
                <w:rFonts w:asciiTheme="minorHAnsi" w:hAnsiTheme="minorHAnsi"/>
                <w:sz w:val="20"/>
                <w:szCs w:val="20"/>
              </w:rPr>
              <w:t>Energy Savings</w:t>
            </w:r>
          </w:p>
        </w:tc>
        <w:tc>
          <w:tcPr>
            <w:tcW w:w="3125" w:type="pct"/>
          </w:tcPr>
          <w:p w14:paraId="7D5952C1" w14:textId="59F02FD7" w:rsidR="00290ED8" w:rsidRPr="00894AD2" w:rsidRDefault="00D36798">
            <w:pPr>
              <w:rPr>
                <w:rFonts w:cs="Arial"/>
                <w:szCs w:val="20"/>
              </w:rPr>
            </w:pPr>
            <w:r w:rsidRPr="00894AD2">
              <w:rPr>
                <w:rFonts w:cs="Arial"/>
                <w:szCs w:val="20"/>
              </w:rPr>
              <w:t>Refer to Excel Calculation Attachment</w:t>
            </w:r>
          </w:p>
        </w:tc>
      </w:tr>
      <w:tr w:rsidR="00290ED8" w:rsidRPr="00500C4E" w14:paraId="3432D116" w14:textId="77777777" w:rsidTr="00920905">
        <w:trPr>
          <w:trHeight w:val="465"/>
        </w:trPr>
        <w:tc>
          <w:tcPr>
            <w:tcW w:w="1875" w:type="pct"/>
          </w:tcPr>
          <w:p w14:paraId="3CB3B700" w14:textId="30D3563F" w:rsidR="00290ED8" w:rsidRPr="00500C4E" w:rsidRDefault="002469DD">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w:t>
            </w:r>
            <w:r w:rsidR="00290ED8" w:rsidRPr="00500C4E">
              <w:rPr>
                <w:rStyle w:val="Strong"/>
                <w:rFonts w:asciiTheme="minorHAnsi" w:hAnsiTheme="minorHAnsi"/>
                <w:sz w:val="20"/>
                <w:szCs w:val="20"/>
              </w:rPr>
              <w:t>Measure Cost ($/unit)</w:t>
            </w:r>
          </w:p>
        </w:tc>
        <w:tc>
          <w:tcPr>
            <w:tcW w:w="3125" w:type="pct"/>
          </w:tcPr>
          <w:p w14:paraId="55804062" w14:textId="43E444B2" w:rsidR="00290ED8" w:rsidRPr="00894AD2" w:rsidRDefault="00AC2F5B" w:rsidP="00AC2F5B">
            <w:pPr>
              <w:rPr>
                <w:rFonts w:cs="Arial"/>
                <w:szCs w:val="20"/>
              </w:rPr>
            </w:pPr>
            <w:r w:rsidRPr="00894AD2">
              <w:rPr>
                <w:rFonts w:cs="Arial"/>
                <w:szCs w:val="20"/>
              </w:rPr>
              <w:t>Refer to Excel Calculation Attachment</w:t>
            </w:r>
          </w:p>
        </w:tc>
      </w:tr>
      <w:tr w:rsidR="00AC5309" w:rsidRPr="00500C4E" w14:paraId="2D16677E" w14:textId="77777777" w:rsidTr="00920905">
        <w:trPr>
          <w:trHeight w:val="465"/>
        </w:trPr>
        <w:tc>
          <w:tcPr>
            <w:tcW w:w="1875" w:type="pct"/>
          </w:tcPr>
          <w:p w14:paraId="1C8BF889" w14:textId="6745F31A"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Incremental </w:t>
            </w:r>
            <w:r w:rsidR="00BE0AEB" w:rsidRPr="00500C4E">
              <w:rPr>
                <w:rStyle w:val="Strong"/>
                <w:rFonts w:asciiTheme="minorHAnsi" w:hAnsiTheme="minorHAnsi"/>
                <w:sz w:val="20"/>
                <w:szCs w:val="20"/>
              </w:rPr>
              <w:t xml:space="preserve">Measure </w:t>
            </w:r>
            <w:r w:rsidRPr="00500C4E">
              <w:rPr>
                <w:rStyle w:val="Strong"/>
                <w:rFonts w:asciiTheme="minorHAnsi" w:hAnsiTheme="minorHAnsi"/>
                <w:sz w:val="20"/>
                <w:szCs w:val="20"/>
              </w:rPr>
              <w:t>Cost ($/unit)</w:t>
            </w:r>
          </w:p>
        </w:tc>
        <w:tc>
          <w:tcPr>
            <w:tcW w:w="3125" w:type="pct"/>
          </w:tcPr>
          <w:p w14:paraId="40CA5472" w14:textId="769750A2" w:rsidR="00290ED8" w:rsidRPr="00894AD2" w:rsidRDefault="00AC2F5B" w:rsidP="00AC2F5B">
            <w:pPr>
              <w:rPr>
                <w:rFonts w:cs="Arial"/>
                <w:szCs w:val="20"/>
              </w:rPr>
            </w:pPr>
            <w:r w:rsidRPr="00894AD2">
              <w:rPr>
                <w:rFonts w:cs="Arial"/>
                <w:szCs w:val="20"/>
              </w:rPr>
              <w:t>Refer to Excel Calculation Attachment</w:t>
            </w:r>
          </w:p>
        </w:tc>
      </w:tr>
      <w:tr w:rsidR="00290ED8" w:rsidRPr="00500C4E" w14:paraId="466E1409" w14:textId="77777777" w:rsidTr="00920905">
        <w:trPr>
          <w:trHeight w:val="465"/>
        </w:trPr>
        <w:tc>
          <w:tcPr>
            <w:tcW w:w="1875" w:type="pct"/>
          </w:tcPr>
          <w:p w14:paraId="4F8D0A97" w14:textId="25FD4E84" w:rsidR="00290ED8" w:rsidRPr="00500C4E" w:rsidRDefault="00B4065F">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29286218" w:rsidR="00290ED8" w:rsidRPr="00894AD2" w:rsidRDefault="00894AD2">
            <w:pPr>
              <w:rPr>
                <w:rFonts w:cs="Arial"/>
                <w:szCs w:val="20"/>
              </w:rPr>
            </w:pPr>
            <w:r w:rsidRPr="00894AD2">
              <w:rPr>
                <w:szCs w:val="20"/>
              </w:rPr>
              <w:t>HVAC-</w:t>
            </w:r>
            <w:proofErr w:type="spellStart"/>
            <w:r w:rsidR="00EE6CFD">
              <w:rPr>
                <w:szCs w:val="20"/>
              </w:rPr>
              <w:t>ProgTStats</w:t>
            </w:r>
            <w:proofErr w:type="spellEnd"/>
            <w:r w:rsidRPr="00894AD2">
              <w:rPr>
                <w:szCs w:val="20"/>
              </w:rPr>
              <w:t>: EUL 11yrs, RUL 3.7yrs</w:t>
            </w:r>
          </w:p>
        </w:tc>
      </w:tr>
      <w:tr w:rsidR="00AC5309" w:rsidRPr="00500C4E" w14:paraId="6FFAAB3B" w14:textId="77777777" w:rsidTr="00290A99">
        <w:trPr>
          <w:trHeight w:val="465"/>
        </w:trPr>
        <w:tc>
          <w:tcPr>
            <w:tcW w:w="1875" w:type="pct"/>
          </w:tcPr>
          <w:p w14:paraId="080378E9" w14:textId="52D7A149"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 xml:space="preserve">Measure </w:t>
            </w:r>
            <w:r w:rsidR="00AE0A8D" w:rsidRPr="00500C4E">
              <w:rPr>
                <w:rStyle w:val="Strong"/>
                <w:rFonts w:asciiTheme="minorHAnsi" w:hAnsiTheme="minorHAnsi"/>
                <w:sz w:val="20"/>
                <w:szCs w:val="20"/>
              </w:rPr>
              <w:t>Installation</w:t>
            </w:r>
            <w:r w:rsidRPr="00500C4E">
              <w:rPr>
                <w:rStyle w:val="Strong"/>
                <w:rFonts w:asciiTheme="minorHAnsi" w:hAnsiTheme="minorHAnsi"/>
                <w:sz w:val="20"/>
                <w:szCs w:val="20"/>
              </w:rPr>
              <w:t xml:space="preserve"> Type</w:t>
            </w:r>
          </w:p>
        </w:tc>
        <w:tc>
          <w:tcPr>
            <w:tcW w:w="3125" w:type="pct"/>
            <w:shd w:val="clear" w:color="auto" w:fill="auto"/>
          </w:tcPr>
          <w:p w14:paraId="08423BBE" w14:textId="2056170C" w:rsidR="00290ED8" w:rsidRPr="00894AD2" w:rsidRDefault="00917F20">
            <w:pPr>
              <w:rPr>
                <w:rFonts w:cs="Arial"/>
                <w:szCs w:val="20"/>
              </w:rPr>
            </w:pPr>
            <w:r>
              <w:rPr>
                <w:szCs w:val="20"/>
              </w:rPr>
              <w:t>Replace on Burnout (ROB)</w:t>
            </w:r>
          </w:p>
        </w:tc>
      </w:tr>
      <w:tr w:rsidR="00290ED8" w:rsidRPr="00500C4E" w14:paraId="2EA80FC2" w14:textId="77777777" w:rsidTr="00920905">
        <w:trPr>
          <w:trHeight w:val="465"/>
        </w:trPr>
        <w:tc>
          <w:tcPr>
            <w:tcW w:w="1875" w:type="pct"/>
          </w:tcPr>
          <w:p w14:paraId="7E87F403" w14:textId="5683C17E" w:rsidR="00290ED8" w:rsidRPr="00500C4E" w:rsidRDefault="001C1338">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4928A29A" w:rsidR="00290ED8" w:rsidRPr="00500C4E" w:rsidRDefault="004C02CD">
            <w:pPr>
              <w:rPr>
                <w:rFonts w:cs="Arial"/>
                <w:color w:val="FF0000"/>
                <w:szCs w:val="20"/>
              </w:rPr>
            </w:pPr>
            <w:r>
              <w:rPr>
                <w:szCs w:val="20"/>
              </w:rPr>
              <w:t>K-12School-ComCollege</w:t>
            </w:r>
            <w:r w:rsidR="00894AD2">
              <w:rPr>
                <w:szCs w:val="20"/>
              </w:rPr>
              <w:t>: 0.</w:t>
            </w:r>
            <w:r>
              <w:rPr>
                <w:szCs w:val="20"/>
              </w:rPr>
              <w:t>85</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77777777" w:rsidR="00AC5309" w:rsidRPr="00500C4E"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25B60788" w14:textId="7C0D752D" w:rsidR="0088361D" w:rsidRPr="00500C4E" w:rsidRDefault="00EB34FC" w:rsidP="00C959CA">
      <w:pPr>
        <w:pStyle w:val="Heading1"/>
      </w:pPr>
      <w:r w:rsidRPr="00500C4E">
        <w:lastRenderedPageBreak/>
        <w:t>Revision History</w:t>
      </w:r>
    </w:p>
    <w:tbl>
      <w:tblPr>
        <w:tblStyle w:val="TableGrid1"/>
        <w:tblW w:w="5000" w:type="pct"/>
        <w:tblLook w:val="01E0" w:firstRow="1" w:lastRow="1" w:firstColumn="1" w:lastColumn="1" w:noHBand="0" w:noVBand="0"/>
      </w:tblPr>
      <w:tblGrid>
        <w:gridCol w:w="524"/>
        <w:gridCol w:w="1742"/>
        <w:gridCol w:w="1915"/>
        <w:gridCol w:w="5169"/>
      </w:tblGrid>
      <w:tr w:rsidR="003845E5" w:rsidRPr="00500C4E" w14:paraId="5AFD7FBC" w14:textId="77777777" w:rsidTr="00A70646">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9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1024"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2764"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A46210" w:rsidRPr="00500C4E" w14:paraId="0F8D645E" w14:textId="77777777" w:rsidTr="00A70646">
        <w:trPr>
          <w:trHeight w:val="20"/>
        </w:trPr>
        <w:tc>
          <w:tcPr>
            <w:tcW w:w="280" w:type="pct"/>
          </w:tcPr>
          <w:p w14:paraId="5F5D8B81" w14:textId="77777777" w:rsidR="00A70646" w:rsidRDefault="00A70646" w:rsidP="00A70646">
            <w:pPr>
              <w:jc w:val="center"/>
              <w:rPr>
                <w:rFonts w:cstheme="minorHAnsi"/>
                <w:szCs w:val="20"/>
              </w:rPr>
            </w:pPr>
          </w:p>
          <w:p w14:paraId="7038B228" w14:textId="77777777" w:rsidR="00A70646" w:rsidRDefault="00A70646" w:rsidP="00A70646">
            <w:pPr>
              <w:jc w:val="center"/>
              <w:rPr>
                <w:rFonts w:cstheme="minorHAnsi"/>
                <w:szCs w:val="20"/>
              </w:rPr>
            </w:pPr>
          </w:p>
          <w:p w14:paraId="4A179660" w14:textId="77777777" w:rsidR="00A70646" w:rsidRDefault="00A70646" w:rsidP="00A70646">
            <w:pPr>
              <w:jc w:val="center"/>
              <w:rPr>
                <w:rFonts w:cstheme="minorHAnsi"/>
                <w:szCs w:val="20"/>
              </w:rPr>
            </w:pPr>
          </w:p>
          <w:p w14:paraId="6E81B9A9" w14:textId="77777777" w:rsidR="00A70646" w:rsidRDefault="00A70646" w:rsidP="00A70646">
            <w:pPr>
              <w:jc w:val="center"/>
              <w:rPr>
                <w:rFonts w:cstheme="minorHAnsi"/>
                <w:szCs w:val="20"/>
              </w:rPr>
            </w:pPr>
            <w:r>
              <w:rPr>
                <w:rFonts w:cstheme="minorHAnsi"/>
                <w:szCs w:val="20"/>
              </w:rPr>
              <w:t>0</w:t>
            </w:r>
          </w:p>
          <w:p w14:paraId="4A1A2996" w14:textId="3932E2EF" w:rsidR="00A70646" w:rsidRPr="00062485" w:rsidRDefault="00A70646" w:rsidP="00A70646">
            <w:pPr>
              <w:jc w:val="center"/>
              <w:rPr>
                <w:rFonts w:cstheme="minorHAnsi"/>
                <w:szCs w:val="20"/>
              </w:rPr>
            </w:pPr>
          </w:p>
        </w:tc>
        <w:tc>
          <w:tcPr>
            <w:tcW w:w="932" w:type="pct"/>
            <w:vAlign w:val="center"/>
          </w:tcPr>
          <w:p w14:paraId="68BA349C" w14:textId="5BEE7960" w:rsidR="00A46210" w:rsidRPr="00062485" w:rsidRDefault="00A70646" w:rsidP="00A70646">
            <w:pPr>
              <w:jc w:val="center"/>
              <w:rPr>
                <w:rFonts w:cstheme="minorHAnsi"/>
                <w:szCs w:val="20"/>
              </w:rPr>
            </w:pPr>
            <w:r>
              <w:rPr>
                <w:rFonts w:cstheme="minorHAnsi"/>
                <w:szCs w:val="20"/>
              </w:rPr>
              <w:t>11/4/16</w:t>
            </w:r>
          </w:p>
        </w:tc>
        <w:tc>
          <w:tcPr>
            <w:tcW w:w="1024" w:type="pct"/>
            <w:vAlign w:val="center"/>
          </w:tcPr>
          <w:p w14:paraId="4A812BB3" w14:textId="5975F22C" w:rsidR="00A46210" w:rsidRPr="00062485" w:rsidRDefault="00A46210" w:rsidP="00A70646">
            <w:pPr>
              <w:jc w:val="center"/>
              <w:rPr>
                <w:rFonts w:cstheme="minorHAnsi"/>
                <w:szCs w:val="20"/>
              </w:rPr>
            </w:pPr>
            <w:r>
              <w:rPr>
                <w:rFonts w:cstheme="minorHAnsi"/>
                <w:szCs w:val="20"/>
              </w:rPr>
              <w:t>Jay Schuyler/TRC</w:t>
            </w:r>
          </w:p>
        </w:tc>
        <w:tc>
          <w:tcPr>
            <w:tcW w:w="2764" w:type="pct"/>
            <w:vAlign w:val="center"/>
          </w:tcPr>
          <w:p w14:paraId="50743384" w14:textId="29032D5E" w:rsidR="00A46210" w:rsidRDefault="00A70646" w:rsidP="00D56D2C">
            <w:pPr>
              <w:pStyle w:val="ListParagraph"/>
              <w:numPr>
                <w:ilvl w:val="0"/>
                <w:numId w:val="4"/>
              </w:numPr>
            </w:pPr>
            <w:r>
              <w:t xml:space="preserve">This work paper is an update of </w:t>
            </w:r>
            <w:r w:rsidR="00A46210">
              <w:t>SCE13LG060.2</w:t>
            </w:r>
          </w:p>
          <w:p w14:paraId="1908FF21" w14:textId="323A006F" w:rsidR="00A46210" w:rsidRDefault="00A46210" w:rsidP="00D56D2C">
            <w:pPr>
              <w:pStyle w:val="ListParagraph"/>
              <w:numPr>
                <w:ilvl w:val="0"/>
                <w:numId w:val="4"/>
              </w:numPr>
            </w:pPr>
            <w:r>
              <w:t xml:space="preserve">Updated chapter section references for Title 24 2016 Standards and referenced ASHRAE HVAC Applications Handbook 2015. </w:t>
            </w:r>
            <w:r w:rsidRPr="00FD6987">
              <w:t>The code langua</w:t>
            </w:r>
            <w:r>
              <w:t>ge in the work</w:t>
            </w:r>
            <w:r w:rsidR="00A70646">
              <w:t xml:space="preserve"> </w:t>
            </w:r>
            <w:r>
              <w:t>paper was updated.</w:t>
            </w:r>
          </w:p>
          <w:p w14:paraId="34F0A8ED" w14:textId="46EFAAE3" w:rsidR="00A46210" w:rsidRPr="00541BC1" w:rsidRDefault="00A46210" w:rsidP="00D56D2C">
            <w:pPr>
              <w:pStyle w:val="ListParagraph"/>
              <w:numPr>
                <w:ilvl w:val="0"/>
                <w:numId w:val="4"/>
              </w:numPr>
            </w:pPr>
            <w:r w:rsidRPr="00A46210">
              <w:t>New calculation template for 2017 program year.</w:t>
            </w:r>
          </w:p>
        </w:tc>
      </w:tr>
      <w:tr w:rsidR="00103128" w:rsidRPr="00500C4E" w14:paraId="61A3AFF5" w14:textId="77777777" w:rsidTr="00A70646">
        <w:trPr>
          <w:trHeight w:val="20"/>
        </w:trPr>
        <w:tc>
          <w:tcPr>
            <w:tcW w:w="280" w:type="pct"/>
          </w:tcPr>
          <w:p w14:paraId="3AE695B1" w14:textId="662ABB39" w:rsidR="00103128" w:rsidRDefault="00103128" w:rsidP="00A70646">
            <w:pPr>
              <w:jc w:val="center"/>
              <w:rPr>
                <w:rFonts w:cstheme="minorHAnsi"/>
                <w:szCs w:val="20"/>
              </w:rPr>
            </w:pPr>
            <w:r>
              <w:rPr>
                <w:rFonts w:cstheme="minorHAnsi"/>
                <w:szCs w:val="20"/>
              </w:rPr>
              <w:t>1</w:t>
            </w:r>
          </w:p>
        </w:tc>
        <w:tc>
          <w:tcPr>
            <w:tcW w:w="932" w:type="pct"/>
            <w:vAlign w:val="center"/>
          </w:tcPr>
          <w:p w14:paraId="3B0968F0" w14:textId="5EF2CD7B" w:rsidR="00103128" w:rsidRDefault="00103128" w:rsidP="00A70646">
            <w:pPr>
              <w:jc w:val="center"/>
              <w:rPr>
                <w:rFonts w:cstheme="minorHAnsi"/>
                <w:szCs w:val="20"/>
              </w:rPr>
            </w:pPr>
            <w:r>
              <w:rPr>
                <w:rFonts w:cstheme="minorHAnsi"/>
                <w:szCs w:val="20"/>
              </w:rPr>
              <w:t>07/11/18</w:t>
            </w:r>
          </w:p>
        </w:tc>
        <w:tc>
          <w:tcPr>
            <w:tcW w:w="1024" w:type="pct"/>
            <w:vAlign w:val="center"/>
          </w:tcPr>
          <w:p w14:paraId="730B9D85" w14:textId="268CFDC0" w:rsidR="00103128" w:rsidRDefault="00103128" w:rsidP="00A70646">
            <w:pPr>
              <w:jc w:val="center"/>
              <w:rPr>
                <w:rFonts w:cstheme="minorHAnsi"/>
                <w:szCs w:val="20"/>
              </w:rPr>
            </w:pPr>
            <w:r>
              <w:rPr>
                <w:rFonts w:cstheme="minorHAnsi"/>
                <w:szCs w:val="20"/>
              </w:rPr>
              <w:t xml:space="preserve">Akhilesh Endurthy/ Lincus, Inc. </w:t>
            </w:r>
          </w:p>
        </w:tc>
        <w:tc>
          <w:tcPr>
            <w:tcW w:w="2764" w:type="pct"/>
            <w:vAlign w:val="center"/>
          </w:tcPr>
          <w:p w14:paraId="14BEAB5F" w14:textId="66276C01" w:rsidR="00103128" w:rsidRDefault="00103128" w:rsidP="00D56D2C">
            <w:pPr>
              <w:pStyle w:val="ListParagraph"/>
              <w:numPr>
                <w:ilvl w:val="0"/>
                <w:numId w:val="4"/>
              </w:numPr>
            </w:pPr>
            <w:r>
              <w:t xml:space="preserve">Install type changed </w:t>
            </w:r>
            <w:r w:rsidR="00EE6CFD">
              <w:t>to NR based on ED’s disposition on custom project</w:t>
            </w:r>
            <w:r w:rsidR="00A87341">
              <w:t>s</w:t>
            </w:r>
            <w:r w:rsidR="00EE6CFD">
              <w:t xml:space="preserve"> replacing thermostats</w:t>
            </w:r>
          </w:p>
          <w:p w14:paraId="5D2ABFE1" w14:textId="77777777" w:rsidR="00103128" w:rsidRDefault="00103128" w:rsidP="00D56D2C">
            <w:pPr>
              <w:pStyle w:val="ListParagraph"/>
              <w:numPr>
                <w:ilvl w:val="0"/>
                <w:numId w:val="4"/>
              </w:numPr>
            </w:pPr>
            <w:r>
              <w:t xml:space="preserve">Technology type revised from shutting down the AC unit to unoccupied temperature setbacks </w:t>
            </w:r>
          </w:p>
          <w:p w14:paraId="61AA15E8" w14:textId="1473B8AC" w:rsidR="00103128" w:rsidRDefault="00103128" w:rsidP="00D56D2C">
            <w:pPr>
              <w:pStyle w:val="ListParagraph"/>
              <w:numPr>
                <w:ilvl w:val="0"/>
                <w:numId w:val="4"/>
              </w:numPr>
            </w:pPr>
            <w:r>
              <w:t xml:space="preserve">Revise the calculations using DEER </w:t>
            </w:r>
            <w:proofErr w:type="spellStart"/>
            <w:r>
              <w:t>eQuest</w:t>
            </w:r>
            <w:proofErr w:type="spellEnd"/>
            <w:r>
              <w:t xml:space="preserve"> models and unoccupied temperature setbacks </w:t>
            </w:r>
          </w:p>
          <w:p w14:paraId="368050B0" w14:textId="2FB31A3B" w:rsidR="004C02CD" w:rsidRDefault="004C02CD" w:rsidP="00D56D2C">
            <w:pPr>
              <w:pStyle w:val="ListParagraph"/>
              <w:numPr>
                <w:ilvl w:val="0"/>
                <w:numId w:val="4"/>
              </w:numPr>
            </w:pPr>
            <w:r>
              <w:t>Removed Education-Universities and Education-Community Colleges from eligible building types</w:t>
            </w:r>
          </w:p>
          <w:p w14:paraId="6168ECB6" w14:textId="77777777" w:rsidR="00103128" w:rsidRDefault="00103128" w:rsidP="00D56D2C">
            <w:pPr>
              <w:pStyle w:val="ListParagraph"/>
              <w:numPr>
                <w:ilvl w:val="0"/>
                <w:numId w:val="4"/>
              </w:numPr>
            </w:pPr>
            <w:r>
              <w:t>Update the costs section and consider</w:t>
            </w:r>
            <w:r w:rsidR="00EE6CFD">
              <w:t>ed</w:t>
            </w:r>
            <w:r>
              <w:t xml:space="preserve"> Incremental Measure Cost as the eligible cost. </w:t>
            </w:r>
          </w:p>
          <w:p w14:paraId="1FA6EB75" w14:textId="44A19E81" w:rsidR="00180210" w:rsidRDefault="00180210" w:rsidP="00D56D2C">
            <w:pPr>
              <w:pStyle w:val="ListParagraph"/>
              <w:numPr>
                <w:ilvl w:val="0"/>
                <w:numId w:val="4"/>
              </w:numPr>
            </w:pPr>
            <w:r>
              <w:t>Added new four solution codes to clarify specific building types</w:t>
            </w:r>
          </w:p>
        </w:tc>
      </w:tr>
    </w:tbl>
    <w:p w14:paraId="656E2232" w14:textId="1DD1D2A5"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8877AF" w:rsidRPr="00500C4E" w14:paraId="63E31671" w14:textId="04F75037" w:rsidTr="00BA5FE4">
        <w:trPr>
          <w:trHeight w:val="20"/>
        </w:trPr>
        <w:tc>
          <w:tcPr>
            <w:tcW w:w="280" w:type="pct"/>
          </w:tcPr>
          <w:p w14:paraId="4D0B6F23" w14:textId="4B39833B" w:rsidR="008877AF" w:rsidRPr="00EE4120" w:rsidRDefault="008877AF" w:rsidP="00A84BF9">
            <w:pPr>
              <w:rPr>
                <w:bCs/>
                <w:color w:val="FF0000"/>
              </w:rPr>
            </w:pPr>
          </w:p>
        </w:tc>
        <w:tc>
          <w:tcPr>
            <w:tcW w:w="351" w:type="pct"/>
          </w:tcPr>
          <w:p w14:paraId="23988046" w14:textId="3EE751CA" w:rsidR="008877AF" w:rsidRPr="00EE4120" w:rsidRDefault="008877AF" w:rsidP="00A84BF9">
            <w:pPr>
              <w:rPr>
                <w:bCs/>
                <w:color w:val="FF0000"/>
                <w:szCs w:val="20"/>
              </w:rPr>
            </w:pPr>
          </w:p>
        </w:tc>
        <w:tc>
          <w:tcPr>
            <w:tcW w:w="548" w:type="pct"/>
          </w:tcPr>
          <w:p w14:paraId="4AB37DB0" w14:textId="1C67384B" w:rsidR="008877AF" w:rsidRPr="00EE4120" w:rsidRDefault="008877AF" w:rsidP="00A84BF9">
            <w:pPr>
              <w:rPr>
                <w:bCs/>
                <w:color w:val="FF0000"/>
                <w:szCs w:val="20"/>
              </w:rPr>
            </w:pPr>
          </w:p>
        </w:tc>
        <w:tc>
          <w:tcPr>
            <w:tcW w:w="552" w:type="pct"/>
          </w:tcPr>
          <w:p w14:paraId="62E998F6" w14:textId="32C721C4" w:rsidR="008877AF" w:rsidRPr="00EE4120" w:rsidRDefault="008877AF" w:rsidP="00A84BF9">
            <w:pPr>
              <w:rPr>
                <w:bCs/>
                <w:color w:val="FF0000"/>
                <w:szCs w:val="20"/>
              </w:rPr>
            </w:pPr>
          </w:p>
        </w:tc>
        <w:tc>
          <w:tcPr>
            <w:tcW w:w="1634" w:type="pct"/>
          </w:tcPr>
          <w:p w14:paraId="369DEEE8" w14:textId="2B714093" w:rsidR="008877AF" w:rsidRPr="00062485" w:rsidRDefault="008877AF" w:rsidP="00D56D2C">
            <w:pPr>
              <w:pStyle w:val="ListParagraph"/>
              <w:numPr>
                <w:ilvl w:val="0"/>
                <w:numId w:val="2"/>
              </w:numPr>
              <w:rPr>
                <w:bCs/>
                <w:szCs w:val="20"/>
              </w:rPr>
            </w:pPr>
          </w:p>
        </w:tc>
        <w:tc>
          <w:tcPr>
            <w:tcW w:w="1634" w:type="pct"/>
          </w:tcPr>
          <w:p w14:paraId="1ECCFDB6" w14:textId="0B03CA36" w:rsidR="008877AF" w:rsidRPr="00062485" w:rsidRDefault="008877AF" w:rsidP="00D56D2C">
            <w:pPr>
              <w:pStyle w:val="ListParagraph"/>
              <w:numPr>
                <w:ilvl w:val="0"/>
                <w:numId w:val="2"/>
              </w:numPr>
              <w:rPr>
                <w:bCs/>
                <w:szCs w:val="20"/>
              </w:rPr>
            </w:pPr>
          </w:p>
        </w:tc>
      </w:tr>
      <w:tr w:rsidR="008877AF" w:rsidRPr="00500C4E" w14:paraId="69D073CD" w14:textId="392DFDA5" w:rsidTr="00BA5FE4">
        <w:trPr>
          <w:trHeight w:val="20"/>
        </w:trPr>
        <w:tc>
          <w:tcPr>
            <w:tcW w:w="280" w:type="pct"/>
          </w:tcPr>
          <w:p w14:paraId="19E0D6ED" w14:textId="4BD8913E" w:rsidR="008877AF" w:rsidRPr="00EE4120" w:rsidRDefault="008877AF" w:rsidP="00A84BF9">
            <w:pPr>
              <w:rPr>
                <w:color w:val="FF0000"/>
              </w:rPr>
            </w:pPr>
          </w:p>
        </w:tc>
        <w:tc>
          <w:tcPr>
            <w:tcW w:w="351" w:type="pct"/>
          </w:tcPr>
          <w:p w14:paraId="71879172" w14:textId="0AB48ED7" w:rsidR="008877AF" w:rsidRPr="00EE4120" w:rsidRDefault="008877AF" w:rsidP="00A84BF9">
            <w:pPr>
              <w:autoSpaceDE w:val="0"/>
              <w:autoSpaceDN w:val="0"/>
              <w:adjustRightInd w:val="0"/>
              <w:rPr>
                <w:color w:val="FF0000"/>
                <w:szCs w:val="20"/>
              </w:rPr>
            </w:pPr>
          </w:p>
        </w:tc>
        <w:tc>
          <w:tcPr>
            <w:tcW w:w="548" w:type="pct"/>
          </w:tcPr>
          <w:p w14:paraId="61A20ED3" w14:textId="11F8A3E7" w:rsidR="008877AF" w:rsidRPr="00EE4120" w:rsidRDefault="008877AF" w:rsidP="00A84BF9">
            <w:pPr>
              <w:autoSpaceDE w:val="0"/>
              <w:autoSpaceDN w:val="0"/>
              <w:adjustRightInd w:val="0"/>
              <w:rPr>
                <w:color w:val="FF0000"/>
                <w:szCs w:val="20"/>
              </w:rPr>
            </w:pPr>
          </w:p>
        </w:tc>
        <w:tc>
          <w:tcPr>
            <w:tcW w:w="552" w:type="pct"/>
          </w:tcPr>
          <w:p w14:paraId="211F8E7E" w14:textId="770EE874" w:rsidR="008877AF" w:rsidRPr="00EE4120" w:rsidRDefault="008877AF" w:rsidP="00A84BF9">
            <w:pPr>
              <w:rPr>
                <w:color w:val="FF0000"/>
                <w:szCs w:val="20"/>
              </w:rPr>
            </w:pPr>
          </w:p>
        </w:tc>
        <w:tc>
          <w:tcPr>
            <w:tcW w:w="1634" w:type="pct"/>
          </w:tcPr>
          <w:p w14:paraId="52AA4972" w14:textId="6D0F17BF" w:rsidR="008877AF" w:rsidRPr="00062485" w:rsidRDefault="008877AF" w:rsidP="00D56D2C">
            <w:pPr>
              <w:pStyle w:val="ListParagraph"/>
              <w:numPr>
                <w:ilvl w:val="0"/>
                <w:numId w:val="3"/>
              </w:numPr>
              <w:rPr>
                <w:bCs/>
                <w:szCs w:val="20"/>
              </w:rPr>
            </w:pPr>
          </w:p>
        </w:tc>
        <w:tc>
          <w:tcPr>
            <w:tcW w:w="1634" w:type="pct"/>
          </w:tcPr>
          <w:p w14:paraId="34686434" w14:textId="786C47E5" w:rsidR="008877AF" w:rsidRPr="00062485" w:rsidRDefault="008877AF" w:rsidP="00D56D2C">
            <w:pPr>
              <w:pStyle w:val="ListParagraph"/>
              <w:numPr>
                <w:ilvl w:val="0"/>
                <w:numId w:val="3"/>
              </w:numPr>
              <w:rPr>
                <w:bCs/>
                <w:szCs w:val="20"/>
              </w:rPr>
            </w:pPr>
          </w:p>
        </w:tc>
      </w:tr>
    </w:tbl>
    <w:p w14:paraId="2BE8CAD7" w14:textId="77777777" w:rsidR="008877AF" w:rsidRDefault="001E1320" w:rsidP="00BA5FE4">
      <w:pPr>
        <w:spacing w:line="276" w:lineRule="auto"/>
        <w:rPr>
          <w:sz w:val="20"/>
          <w:szCs w:val="20"/>
        </w:rPr>
      </w:pPr>
      <w:r>
        <w:rPr>
          <w:sz w:val="20"/>
          <w:szCs w:val="20"/>
        </w:rPr>
        <w:t xml:space="preserve">Cal TF website: </w:t>
      </w:r>
      <w:hyperlink r:id="rId10" w:history="1">
        <w:r w:rsidR="008877AF" w:rsidRPr="007911DF">
          <w:rPr>
            <w:rStyle w:val="Hyperlink"/>
            <w:sz w:val="20"/>
            <w:szCs w:val="20"/>
          </w:rPr>
          <w:t>http://www.caltf.org/</w:t>
        </w:r>
      </w:hyperlink>
      <w:r w:rsidR="008877AF">
        <w:rPr>
          <w:sz w:val="20"/>
          <w:szCs w:val="20"/>
        </w:rPr>
        <w:t xml:space="preserve"> </w:t>
      </w:r>
    </w:p>
    <w:p w14:paraId="0A689F00" w14:textId="079AA015" w:rsidR="00DA2822" w:rsidRDefault="00DA2822" w:rsidP="00BA5FE4">
      <w:pPr>
        <w:spacing w:line="276" w:lineRule="auto"/>
        <w:rPr>
          <w:rFonts w:cs="Arial"/>
          <w:b/>
          <w:bCs/>
          <w:smallCaps/>
          <w:kern w:val="32"/>
          <w:sz w:val="36"/>
          <w:szCs w:val="20"/>
        </w:rPr>
      </w:pPr>
      <w:r>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7"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7"/>
    </w:p>
    <w:p w14:paraId="60AD66C2" w14:textId="77777777" w:rsidR="00092386" w:rsidRPr="00255D8F" w:rsidRDefault="00092386" w:rsidP="00092386">
      <w:pPr>
        <w:pStyle w:val="Reminders"/>
        <w:tabs>
          <w:tab w:val="num" w:pos="360"/>
        </w:tabs>
        <w:rPr>
          <w:rFonts w:asciiTheme="minorHAnsi" w:hAnsiTheme="minorHAnsi" w:cstheme="minorHAnsi"/>
          <w:i w:val="0"/>
          <w:color w:val="auto"/>
          <w:szCs w:val="22"/>
        </w:rPr>
      </w:pPr>
      <w:r w:rsidRPr="00255D8F">
        <w:rPr>
          <w:rFonts w:asciiTheme="minorHAnsi" w:hAnsiTheme="minorHAnsi" w:cstheme="minorHAnsi"/>
          <w:i w:val="0"/>
          <w:color w:val="auto"/>
          <w:szCs w:val="22"/>
        </w:rPr>
        <w:t xml:space="preserve">This work paper details the estimated electrical and natural gas energy and peak demand savings for a </w:t>
      </w:r>
      <w:r w:rsidRPr="00D30503">
        <w:rPr>
          <w:rFonts w:asciiTheme="minorHAnsi" w:hAnsiTheme="minorHAnsi" w:cstheme="minorHAnsi"/>
          <w:i w:val="0"/>
          <w:color w:val="auto"/>
          <w:szCs w:val="22"/>
        </w:rPr>
        <w:t>classroom with an occupancy sensor controlled HVAC system.</w:t>
      </w:r>
      <w:r w:rsidRPr="00255D8F">
        <w:rPr>
          <w:rFonts w:asciiTheme="minorHAnsi" w:hAnsiTheme="minorHAnsi" w:cstheme="minorHAnsi"/>
          <w:i w:val="0"/>
          <w:color w:val="auto"/>
          <w:szCs w:val="22"/>
        </w:rPr>
        <w:t xml:space="preserve">  The base and measure cases are as follows:</w:t>
      </w:r>
    </w:p>
    <w:p w14:paraId="774C0999" w14:textId="77777777" w:rsidR="00092386" w:rsidRPr="00255D8F" w:rsidRDefault="00092386" w:rsidP="00092386">
      <w:pPr>
        <w:pStyle w:val="Reminders"/>
        <w:tabs>
          <w:tab w:val="num" w:pos="360"/>
        </w:tabs>
        <w:rPr>
          <w:rFonts w:asciiTheme="minorHAnsi" w:hAnsiTheme="minorHAnsi" w:cstheme="minorHAnsi"/>
          <w:i w:val="0"/>
          <w:color w:val="auto"/>
          <w:szCs w:val="22"/>
        </w:rPr>
      </w:pPr>
    </w:p>
    <w:p w14:paraId="3B192CB7" w14:textId="2F74D15D" w:rsidR="00092386" w:rsidRPr="00255D8F" w:rsidRDefault="00092386">
      <w:pPr>
        <w:pStyle w:val="Reminders"/>
        <w:tabs>
          <w:tab w:val="num" w:pos="360"/>
        </w:tabs>
        <w:rPr>
          <w:rFonts w:asciiTheme="minorHAnsi" w:hAnsiTheme="minorHAnsi" w:cstheme="minorHAnsi"/>
          <w:i w:val="0"/>
          <w:color w:val="auto"/>
          <w:szCs w:val="22"/>
        </w:rPr>
      </w:pPr>
      <w:r w:rsidRPr="00255D8F">
        <w:rPr>
          <w:rFonts w:asciiTheme="minorHAnsi" w:hAnsiTheme="minorHAnsi" w:cstheme="minorHAnsi"/>
          <w:i w:val="0"/>
          <w:color w:val="auto"/>
          <w:szCs w:val="22"/>
        </w:rPr>
        <w:t xml:space="preserve">Base Case:  </w:t>
      </w:r>
      <w:r w:rsidR="00EE6CFD">
        <w:rPr>
          <w:rFonts w:asciiTheme="minorHAnsi" w:hAnsiTheme="minorHAnsi" w:cstheme="minorHAnsi"/>
          <w:i w:val="0"/>
          <w:color w:val="auto"/>
          <w:szCs w:val="22"/>
        </w:rPr>
        <w:t xml:space="preserve">A programmable thermostat without occupancy sensor controlling </w:t>
      </w:r>
      <w:r w:rsidR="00103128">
        <w:rPr>
          <w:rFonts w:asciiTheme="minorHAnsi" w:hAnsiTheme="minorHAnsi" w:cstheme="minorHAnsi"/>
          <w:i w:val="0"/>
          <w:color w:val="auto"/>
          <w:szCs w:val="22"/>
        </w:rPr>
        <w:t>Packaged HVAC unit serving classroom</w:t>
      </w:r>
      <w:r w:rsidR="00873AA3">
        <w:rPr>
          <w:rFonts w:asciiTheme="minorHAnsi" w:hAnsiTheme="minorHAnsi" w:cstheme="minorHAnsi"/>
          <w:i w:val="0"/>
          <w:color w:val="auto"/>
          <w:szCs w:val="22"/>
        </w:rPr>
        <w:t>s</w:t>
      </w:r>
      <w:r w:rsidR="00103128">
        <w:rPr>
          <w:rFonts w:asciiTheme="minorHAnsi" w:hAnsiTheme="minorHAnsi" w:cstheme="minorHAnsi"/>
          <w:i w:val="0"/>
          <w:color w:val="auto"/>
          <w:szCs w:val="22"/>
        </w:rPr>
        <w:t xml:space="preserve">. </w:t>
      </w:r>
      <w:r w:rsidR="00EE6CFD">
        <w:rPr>
          <w:rFonts w:asciiTheme="minorHAnsi" w:hAnsiTheme="minorHAnsi" w:cstheme="minorHAnsi"/>
          <w:i w:val="0"/>
          <w:color w:val="auto"/>
          <w:szCs w:val="22"/>
        </w:rPr>
        <w:t>Th</w:t>
      </w:r>
      <w:r w:rsidR="00B61FC5">
        <w:rPr>
          <w:rFonts w:asciiTheme="minorHAnsi" w:hAnsiTheme="minorHAnsi" w:cstheme="minorHAnsi"/>
          <w:i w:val="0"/>
          <w:color w:val="auto"/>
          <w:szCs w:val="22"/>
        </w:rPr>
        <w:t>is</w:t>
      </w:r>
      <w:r w:rsidR="00EE6CFD">
        <w:rPr>
          <w:rFonts w:asciiTheme="minorHAnsi" w:hAnsiTheme="minorHAnsi" w:cstheme="minorHAnsi"/>
          <w:i w:val="0"/>
          <w:color w:val="auto"/>
          <w:szCs w:val="22"/>
        </w:rPr>
        <w:t xml:space="preserve"> thermostat has </w:t>
      </w:r>
      <w:r w:rsidR="007471FE">
        <w:rPr>
          <w:rFonts w:asciiTheme="minorHAnsi" w:hAnsiTheme="minorHAnsi" w:cstheme="minorHAnsi"/>
          <w:i w:val="0"/>
          <w:color w:val="auto"/>
          <w:szCs w:val="22"/>
        </w:rPr>
        <w:t xml:space="preserve">unoccupied </w:t>
      </w:r>
      <w:r w:rsidR="00484C7F">
        <w:rPr>
          <w:rFonts w:asciiTheme="minorHAnsi" w:hAnsiTheme="minorHAnsi" w:cstheme="minorHAnsi"/>
          <w:i w:val="0"/>
          <w:color w:val="auto"/>
          <w:szCs w:val="22"/>
        </w:rPr>
        <w:t>setback temperature</w:t>
      </w:r>
      <w:r w:rsidRPr="00255D8F">
        <w:rPr>
          <w:rFonts w:asciiTheme="minorHAnsi" w:hAnsiTheme="minorHAnsi" w:cstheme="minorHAnsi"/>
          <w:i w:val="0"/>
          <w:color w:val="auto"/>
          <w:szCs w:val="22"/>
        </w:rPr>
        <w:t xml:space="preserve"> control during closed hours (evenings, weekends, furlough days and holidays).</w:t>
      </w:r>
    </w:p>
    <w:p w14:paraId="4FD54551" w14:textId="77777777" w:rsidR="00092386" w:rsidRPr="00255D8F" w:rsidRDefault="00092386" w:rsidP="00092386">
      <w:pPr>
        <w:pStyle w:val="Reminders"/>
        <w:tabs>
          <w:tab w:val="num" w:pos="360"/>
        </w:tabs>
        <w:rPr>
          <w:rFonts w:asciiTheme="minorHAnsi" w:hAnsiTheme="minorHAnsi" w:cstheme="minorHAnsi"/>
          <w:i w:val="0"/>
          <w:color w:val="auto"/>
          <w:szCs w:val="22"/>
        </w:rPr>
      </w:pPr>
    </w:p>
    <w:p w14:paraId="584F95AE" w14:textId="2CE748B6" w:rsidR="00EE6CFD" w:rsidRPr="00255D8F" w:rsidRDefault="00092386" w:rsidP="00EE6CFD">
      <w:pPr>
        <w:pStyle w:val="Reminders"/>
        <w:tabs>
          <w:tab w:val="num" w:pos="360"/>
        </w:tabs>
        <w:rPr>
          <w:rFonts w:asciiTheme="minorHAnsi" w:hAnsiTheme="minorHAnsi" w:cstheme="minorHAnsi"/>
          <w:i w:val="0"/>
          <w:color w:val="auto"/>
          <w:szCs w:val="22"/>
        </w:rPr>
      </w:pPr>
      <w:r w:rsidRPr="00255D8F">
        <w:rPr>
          <w:rFonts w:asciiTheme="minorHAnsi" w:hAnsiTheme="minorHAnsi" w:cstheme="minorHAnsi"/>
          <w:i w:val="0"/>
          <w:color w:val="auto"/>
          <w:szCs w:val="22"/>
        </w:rPr>
        <w:t xml:space="preserve">Measure Case:  </w:t>
      </w:r>
      <w:r w:rsidR="00EE6CFD">
        <w:rPr>
          <w:rFonts w:asciiTheme="minorHAnsi" w:hAnsiTheme="minorHAnsi" w:cstheme="minorHAnsi"/>
          <w:i w:val="0"/>
          <w:color w:val="auto"/>
          <w:szCs w:val="22"/>
        </w:rPr>
        <w:t xml:space="preserve">A programmable thermostat with occupancy sensor controlling Packaged HVAC unit serving classroom. </w:t>
      </w:r>
      <w:r w:rsidR="004C02CD">
        <w:rPr>
          <w:rFonts w:asciiTheme="minorHAnsi" w:hAnsiTheme="minorHAnsi" w:cstheme="minorHAnsi"/>
          <w:i w:val="0"/>
          <w:color w:val="auto"/>
          <w:szCs w:val="22"/>
        </w:rPr>
        <w:t>Like</w:t>
      </w:r>
      <w:r w:rsidR="00EE6CFD">
        <w:rPr>
          <w:rFonts w:asciiTheme="minorHAnsi" w:hAnsiTheme="minorHAnsi" w:cstheme="minorHAnsi"/>
          <w:i w:val="0"/>
          <w:color w:val="auto"/>
          <w:szCs w:val="22"/>
        </w:rPr>
        <w:t xml:space="preserve"> </w:t>
      </w:r>
      <w:r w:rsidR="00484C7F">
        <w:rPr>
          <w:rFonts w:asciiTheme="minorHAnsi" w:hAnsiTheme="minorHAnsi" w:cstheme="minorHAnsi"/>
          <w:i w:val="0"/>
          <w:color w:val="auto"/>
          <w:szCs w:val="22"/>
        </w:rPr>
        <w:t xml:space="preserve">the </w:t>
      </w:r>
      <w:r w:rsidR="00EE6CFD">
        <w:rPr>
          <w:rFonts w:asciiTheme="minorHAnsi" w:hAnsiTheme="minorHAnsi" w:cstheme="minorHAnsi"/>
          <w:i w:val="0"/>
          <w:color w:val="auto"/>
          <w:szCs w:val="22"/>
        </w:rPr>
        <w:t>base case, th</w:t>
      </w:r>
      <w:r w:rsidR="00484C7F">
        <w:rPr>
          <w:rFonts w:asciiTheme="minorHAnsi" w:hAnsiTheme="minorHAnsi" w:cstheme="minorHAnsi"/>
          <w:i w:val="0"/>
          <w:color w:val="auto"/>
          <w:szCs w:val="22"/>
        </w:rPr>
        <w:t>is</w:t>
      </w:r>
      <w:r w:rsidR="00EE6CFD">
        <w:rPr>
          <w:rFonts w:asciiTheme="minorHAnsi" w:hAnsiTheme="minorHAnsi" w:cstheme="minorHAnsi"/>
          <w:i w:val="0"/>
          <w:color w:val="auto"/>
          <w:szCs w:val="22"/>
        </w:rPr>
        <w:t xml:space="preserve"> thermostat has unoccupied </w:t>
      </w:r>
      <w:r w:rsidR="00115185">
        <w:rPr>
          <w:rFonts w:asciiTheme="minorHAnsi" w:hAnsiTheme="minorHAnsi" w:cstheme="minorHAnsi"/>
          <w:i w:val="0"/>
          <w:color w:val="auto"/>
          <w:szCs w:val="22"/>
        </w:rPr>
        <w:t>setback temperature</w:t>
      </w:r>
      <w:r w:rsidR="00EE6CFD" w:rsidRPr="00255D8F">
        <w:rPr>
          <w:rFonts w:asciiTheme="minorHAnsi" w:hAnsiTheme="minorHAnsi" w:cstheme="minorHAnsi"/>
          <w:i w:val="0"/>
          <w:color w:val="auto"/>
          <w:szCs w:val="22"/>
        </w:rPr>
        <w:t xml:space="preserve"> control during closed hours (evenings, weekends, furlough days and holidays).</w:t>
      </w:r>
      <w:r w:rsidR="004C02CD">
        <w:rPr>
          <w:rFonts w:asciiTheme="minorHAnsi" w:hAnsiTheme="minorHAnsi" w:cstheme="minorHAnsi"/>
          <w:i w:val="0"/>
          <w:color w:val="auto"/>
          <w:szCs w:val="22"/>
        </w:rPr>
        <w:t xml:space="preserve"> Additionally, this thermostat goes to unoccupied setback temperatures when there is no occupancy sensed for a certain predetermined duration. </w:t>
      </w:r>
    </w:p>
    <w:p w14:paraId="466AB4E2" w14:textId="77777777" w:rsidR="00092386" w:rsidRPr="00255D8F" w:rsidRDefault="00092386" w:rsidP="00092386">
      <w:pPr>
        <w:pStyle w:val="Reminders"/>
        <w:tabs>
          <w:tab w:val="num" w:pos="360"/>
        </w:tabs>
        <w:rPr>
          <w:rFonts w:asciiTheme="minorHAnsi" w:hAnsiTheme="minorHAnsi" w:cstheme="minorHAnsi"/>
          <w:i w:val="0"/>
          <w:color w:val="auto"/>
          <w:szCs w:val="22"/>
        </w:rPr>
      </w:pPr>
    </w:p>
    <w:p w14:paraId="5B80E416" w14:textId="34AB6B3D" w:rsidR="00115185" w:rsidRDefault="00092386" w:rsidP="00092386">
      <w:pPr>
        <w:pStyle w:val="Reminders"/>
        <w:tabs>
          <w:tab w:val="num" w:pos="360"/>
        </w:tabs>
        <w:rPr>
          <w:rFonts w:asciiTheme="minorHAnsi" w:hAnsiTheme="minorHAnsi" w:cstheme="minorHAnsi"/>
          <w:i w:val="0"/>
          <w:color w:val="auto"/>
          <w:szCs w:val="22"/>
        </w:rPr>
      </w:pPr>
      <w:r w:rsidRPr="00255D8F">
        <w:rPr>
          <w:rFonts w:asciiTheme="minorHAnsi" w:hAnsiTheme="minorHAnsi" w:cstheme="minorHAnsi"/>
          <w:i w:val="0"/>
          <w:color w:val="auto"/>
          <w:szCs w:val="22"/>
        </w:rPr>
        <w:lastRenderedPageBreak/>
        <w:t>This work paper considers the following two types of packaged HVAC systems</w:t>
      </w:r>
      <w:r w:rsidR="00115185">
        <w:rPr>
          <w:rFonts w:asciiTheme="minorHAnsi" w:hAnsiTheme="minorHAnsi" w:cstheme="minorHAnsi"/>
          <w:i w:val="0"/>
          <w:color w:val="auto"/>
          <w:szCs w:val="22"/>
        </w:rPr>
        <w:t>:</w:t>
      </w:r>
    </w:p>
    <w:p w14:paraId="7301FACE" w14:textId="4D7519F6" w:rsidR="00115185" w:rsidRDefault="00115185" w:rsidP="00092386">
      <w:pPr>
        <w:pStyle w:val="Reminders"/>
        <w:tabs>
          <w:tab w:val="num" w:pos="360"/>
        </w:tabs>
        <w:rPr>
          <w:rFonts w:asciiTheme="minorHAnsi" w:hAnsiTheme="minorHAnsi" w:cstheme="minorHAnsi"/>
          <w:i w:val="0"/>
          <w:color w:val="auto"/>
          <w:szCs w:val="22"/>
        </w:rPr>
      </w:pPr>
      <w:r w:rsidRPr="00C67A49">
        <w:rPr>
          <w:rFonts w:asciiTheme="minorHAnsi" w:hAnsiTheme="minorHAnsi" w:cstheme="minorHAnsi"/>
          <w:b/>
          <w:i w:val="0"/>
          <w:color w:val="auto"/>
          <w:szCs w:val="22"/>
        </w:rPr>
        <w:t>Heat Pump:</w:t>
      </w:r>
      <w:r>
        <w:rPr>
          <w:rFonts w:asciiTheme="minorHAnsi" w:hAnsiTheme="minorHAnsi" w:cstheme="minorHAnsi"/>
          <w:i w:val="0"/>
          <w:color w:val="auto"/>
          <w:szCs w:val="22"/>
        </w:rPr>
        <w:t xml:space="preserve"> Electric cooling and heating</w:t>
      </w:r>
    </w:p>
    <w:p w14:paraId="2071CAEF" w14:textId="32EE67DE" w:rsidR="00115185" w:rsidRDefault="00115185" w:rsidP="00092386">
      <w:pPr>
        <w:pStyle w:val="Reminders"/>
        <w:tabs>
          <w:tab w:val="num" w:pos="360"/>
        </w:tabs>
        <w:rPr>
          <w:rFonts w:asciiTheme="minorHAnsi" w:hAnsiTheme="minorHAnsi" w:cstheme="minorHAnsi"/>
          <w:i w:val="0"/>
          <w:color w:val="auto"/>
          <w:szCs w:val="22"/>
        </w:rPr>
      </w:pPr>
      <w:r w:rsidRPr="00C67A49">
        <w:rPr>
          <w:rFonts w:asciiTheme="minorHAnsi" w:hAnsiTheme="minorHAnsi" w:cstheme="minorHAnsi"/>
          <w:b/>
          <w:i w:val="0"/>
          <w:color w:val="auto"/>
          <w:szCs w:val="22"/>
        </w:rPr>
        <w:t>DX Furnace:</w:t>
      </w:r>
      <w:r>
        <w:rPr>
          <w:rFonts w:asciiTheme="minorHAnsi" w:hAnsiTheme="minorHAnsi" w:cstheme="minorHAnsi"/>
          <w:i w:val="0"/>
          <w:color w:val="auto"/>
          <w:szCs w:val="22"/>
        </w:rPr>
        <w:t xml:space="preserve"> Electric cooling and natural gas heating</w:t>
      </w:r>
    </w:p>
    <w:p w14:paraId="0BEAB4A2" w14:textId="77777777" w:rsidR="00092386" w:rsidRPr="00800706" w:rsidRDefault="00092386" w:rsidP="001D3223">
      <w:pPr>
        <w:pStyle w:val="Reminders"/>
        <w:tabs>
          <w:tab w:val="num" w:pos="360"/>
        </w:tabs>
        <w:rPr>
          <w:rFonts w:asciiTheme="minorHAnsi" w:hAnsiTheme="minorHAnsi" w:cstheme="minorHAnsi"/>
          <w:i w:val="0"/>
          <w:szCs w:val="22"/>
        </w:rPr>
      </w:pPr>
    </w:p>
    <w:p w14:paraId="1FFD38CC" w14:textId="4259FE4F"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0A3F5605" w:rsidR="00D85F09" w:rsidRPr="00092386" w:rsidRDefault="0074742A" w:rsidP="00920905">
            <w:pPr>
              <w:rPr>
                <w:szCs w:val="20"/>
              </w:rPr>
            </w:pPr>
            <w:r w:rsidRPr="00894AD2">
              <w:rPr>
                <w:rFonts w:cstheme="minorHAnsi"/>
                <w:szCs w:val="22"/>
              </w:rPr>
              <w:t xml:space="preserve">Thermostat </w:t>
            </w:r>
            <w:r>
              <w:rPr>
                <w:rFonts w:cstheme="minorHAnsi"/>
                <w:szCs w:val="22"/>
              </w:rPr>
              <w:t>with</w:t>
            </w:r>
            <w:r w:rsidRPr="00894AD2">
              <w:rPr>
                <w:rFonts w:cstheme="minorHAnsi"/>
                <w:szCs w:val="22"/>
              </w:rPr>
              <w:t xml:space="preserve"> occupancy sensor </w:t>
            </w:r>
            <w:r>
              <w:rPr>
                <w:rFonts w:cstheme="minorHAnsi"/>
                <w:szCs w:val="22"/>
              </w:rPr>
              <w:t>controlling</w:t>
            </w:r>
            <w:r w:rsidRPr="00894AD2">
              <w:rPr>
                <w:rFonts w:cstheme="minorHAnsi"/>
                <w:szCs w:val="22"/>
              </w:rPr>
              <w:t xml:space="preserve"> packaged HVAC systems</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74CB4392" w:rsidR="00D85F09" w:rsidRPr="00092386" w:rsidRDefault="0074742A" w:rsidP="00920905">
            <w:pPr>
              <w:rPr>
                <w:i/>
                <w:szCs w:val="20"/>
              </w:rPr>
            </w:pPr>
            <w:r w:rsidRPr="00894AD2">
              <w:rPr>
                <w:rFonts w:cstheme="minorHAnsi"/>
                <w:szCs w:val="22"/>
              </w:rPr>
              <w:t>Thermostat</w:t>
            </w:r>
            <w:r>
              <w:rPr>
                <w:rFonts w:cstheme="minorHAnsi"/>
                <w:szCs w:val="22"/>
              </w:rPr>
              <w:t xml:space="preserve"> without occupancy sensor</w:t>
            </w:r>
            <w:r w:rsidRPr="00894AD2">
              <w:rPr>
                <w:rFonts w:cstheme="minorHAnsi"/>
                <w:szCs w:val="22"/>
              </w:rPr>
              <w:t xml:space="preserve"> controll</w:t>
            </w:r>
            <w:r>
              <w:rPr>
                <w:rFonts w:cstheme="minorHAnsi"/>
                <w:szCs w:val="22"/>
              </w:rPr>
              <w:t xml:space="preserve">ing </w:t>
            </w:r>
            <w:r w:rsidR="004C02CD" w:rsidRPr="00894AD2">
              <w:rPr>
                <w:rFonts w:cstheme="minorHAnsi"/>
                <w:szCs w:val="22"/>
              </w:rPr>
              <w:t>packaged HVAC</w:t>
            </w:r>
            <w:r w:rsidRPr="00894AD2">
              <w:rPr>
                <w:rFonts w:cstheme="minorHAnsi"/>
                <w:szCs w:val="22"/>
              </w:rPr>
              <w:t xml:space="preserve"> system</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0B6FCDE6" w:rsidR="002344FB" w:rsidRPr="00092386" w:rsidRDefault="00A26829" w:rsidP="00A26829">
            <w:pPr>
              <w:rPr>
                <w:szCs w:val="20"/>
              </w:rPr>
            </w:pPr>
            <w:r w:rsidRPr="00894AD2">
              <w:rPr>
                <w:rFonts w:cstheme="minorHAnsi"/>
                <w:szCs w:val="22"/>
              </w:rPr>
              <w:t>Thermostat</w:t>
            </w:r>
            <w:r>
              <w:rPr>
                <w:rFonts w:cstheme="minorHAnsi"/>
                <w:szCs w:val="22"/>
              </w:rPr>
              <w:t xml:space="preserve"> without occupancy sensor</w:t>
            </w:r>
            <w:r w:rsidRPr="00894AD2">
              <w:rPr>
                <w:rFonts w:cstheme="minorHAnsi"/>
                <w:szCs w:val="22"/>
              </w:rPr>
              <w:t xml:space="preserve"> controll</w:t>
            </w:r>
            <w:r>
              <w:rPr>
                <w:rFonts w:cstheme="minorHAnsi"/>
                <w:szCs w:val="22"/>
              </w:rPr>
              <w:t xml:space="preserve">ing </w:t>
            </w:r>
            <w:r w:rsidRPr="00894AD2">
              <w:rPr>
                <w:rFonts w:cstheme="minorHAnsi"/>
                <w:szCs w:val="22"/>
              </w:rPr>
              <w:t>packaged HVAC system</w:t>
            </w:r>
          </w:p>
        </w:tc>
      </w:tr>
      <w:tr w:rsidR="0074742A" w:rsidRPr="00800706" w14:paraId="05B54372" w14:textId="77777777" w:rsidTr="00920905">
        <w:trPr>
          <w:trHeight w:val="20"/>
        </w:trPr>
        <w:tc>
          <w:tcPr>
            <w:tcW w:w="1502" w:type="pct"/>
          </w:tcPr>
          <w:p w14:paraId="74307EFB" w14:textId="5792FB0B" w:rsidR="0074742A" w:rsidRPr="00920905" w:rsidRDefault="0074742A" w:rsidP="0074742A">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76907B1E" w:rsidR="0074742A" w:rsidRPr="00092386" w:rsidRDefault="00A26829" w:rsidP="0074742A">
            <w:pPr>
              <w:rPr>
                <w:i/>
                <w:szCs w:val="20"/>
              </w:rPr>
            </w:pPr>
            <w:r>
              <w:rPr>
                <w:rFonts w:cs="Arial"/>
                <w:szCs w:val="20"/>
              </w:rPr>
              <w:t>N/A</w:t>
            </w:r>
          </w:p>
        </w:tc>
      </w:tr>
    </w:tbl>
    <w:p w14:paraId="4F9A00BB" w14:textId="77777777" w:rsidR="00092386" w:rsidRDefault="00092386" w:rsidP="00920905">
      <w:pPr>
        <w:pStyle w:val="Caption"/>
        <w:rPr>
          <w:rFonts w:cstheme="minorHAnsi"/>
          <w:szCs w:val="22"/>
        </w:rPr>
      </w:pPr>
    </w:p>
    <w:p w14:paraId="00275FA1" w14:textId="117DE9F4"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jc w:val="center"/>
        <w:tblLook w:val="04A0" w:firstRow="1" w:lastRow="0" w:firstColumn="1" w:lastColumn="0" w:noHBand="0" w:noVBand="1"/>
      </w:tblPr>
      <w:tblGrid>
        <w:gridCol w:w="1008"/>
        <w:gridCol w:w="1008"/>
        <w:gridCol w:w="1131"/>
        <w:gridCol w:w="898"/>
        <w:gridCol w:w="5305"/>
      </w:tblGrid>
      <w:tr w:rsidR="003A3170" w:rsidRPr="00800706" w14:paraId="4040004B" w14:textId="77777777" w:rsidTr="000E6611">
        <w:trPr>
          <w:jc w:val="center"/>
        </w:trPr>
        <w:tc>
          <w:tcPr>
            <w:tcW w:w="2163"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837"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0E6611">
        <w:trPr>
          <w:jc w:val="center"/>
        </w:trPr>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480" w:type="pct"/>
            <w:tcBorders>
              <w:bottom w:val="single" w:sz="4" w:space="0" w:color="auto"/>
            </w:tcBorders>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837" w:type="pct"/>
            <w:vMerge/>
          </w:tcPr>
          <w:p w14:paraId="4025F40F" w14:textId="38634C6A" w:rsidR="003A3170" w:rsidRPr="00800706" w:rsidRDefault="003A3170" w:rsidP="005729C8">
            <w:pPr>
              <w:rPr>
                <w:rFonts w:cstheme="minorHAnsi"/>
                <w:szCs w:val="20"/>
              </w:rPr>
            </w:pPr>
          </w:p>
        </w:tc>
      </w:tr>
      <w:tr w:rsidR="00871089" w:rsidRPr="00871089" w14:paraId="3EC8DDF0" w14:textId="77777777" w:rsidTr="000E6611">
        <w:trPr>
          <w:trHeight w:val="243"/>
          <w:jc w:val="center"/>
        </w:trPr>
        <w:tc>
          <w:tcPr>
            <w:tcW w:w="539" w:type="pct"/>
          </w:tcPr>
          <w:p w14:paraId="036611DE" w14:textId="77777777" w:rsidR="00871089" w:rsidRPr="00871089" w:rsidRDefault="00871089" w:rsidP="00871089">
            <w:pPr>
              <w:rPr>
                <w:rFonts w:cstheme="minorHAnsi"/>
                <w:color w:val="FF0000"/>
                <w:szCs w:val="20"/>
              </w:rPr>
            </w:pPr>
          </w:p>
        </w:tc>
        <w:tc>
          <w:tcPr>
            <w:tcW w:w="539" w:type="pct"/>
          </w:tcPr>
          <w:p w14:paraId="7DC81BD5" w14:textId="77777777" w:rsidR="00871089" w:rsidRPr="00871089" w:rsidRDefault="00871089" w:rsidP="00871089">
            <w:pPr>
              <w:rPr>
                <w:rFonts w:cstheme="minorHAnsi"/>
                <w:color w:val="FF0000"/>
                <w:szCs w:val="20"/>
              </w:rPr>
            </w:pPr>
          </w:p>
        </w:tc>
        <w:tc>
          <w:tcPr>
            <w:tcW w:w="605" w:type="pct"/>
            <w:vAlign w:val="center"/>
          </w:tcPr>
          <w:p w14:paraId="00E0B555" w14:textId="2CEA84D9" w:rsidR="00871089" w:rsidRPr="00871089" w:rsidRDefault="00871089" w:rsidP="000E6611">
            <w:pPr>
              <w:jc w:val="center"/>
              <w:rPr>
                <w:rFonts w:cstheme="minorHAnsi"/>
                <w:szCs w:val="20"/>
              </w:rPr>
            </w:pPr>
            <w:r w:rsidRPr="00871089">
              <w:rPr>
                <w:rFonts w:cstheme="minorHAnsi"/>
                <w:szCs w:val="20"/>
              </w:rPr>
              <w:t>AC-20492</w:t>
            </w:r>
          </w:p>
        </w:tc>
        <w:tc>
          <w:tcPr>
            <w:tcW w:w="480" w:type="pct"/>
            <w:tcBorders>
              <w:top w:val="single" w:sz="4" w:space="0" w:color="auto"/>
              <w:left w:val="nil"/>
              <w:bottom w:val="single" w:sz="4" w:space="0" w:color="auto"/>
              <w:right w:val="single" w:sz="4" w:space="0" w:color="auto"/>
            </w:tcBorders>
            <w:shd w:val="clear" w:color="auto" w:fill="auto"/>
            <w:vAlign w:val="bottom"/>
          </w:tcPr>
          <w:p w14:paraId="479924EB" w14:textId="61158C99" w:rsidR="00871089" w:rsidRPr="00871089" w:rsidRDefault="00871089" w:rsidP="00871089">
            <w:pPr>
              <w:rPr>
                <w:rFonts w:cstheme="minorHAnsi"/>
                <w:szCs w:val="20"/>
              </w:rPr>
            </w:pPr>
          </w:p>
        </w:tc>
        <w:tc>
          <w:tcPr>
            <w:tcW w:w="2837" w:type="pct"/>
            <w:tcBorders>
              <w:top w:val="nil"/>
              <w:left w:val="single" w:sz="4" w:space="0" w:color="auto"/>
              <w:bottom w:val="nil"/>
              <w:right w:val="nil"/>
            </w:tcBorders>
            <w:shd w:val="clear" w:color="auto" w:fill="auto"/>
            <w:vAlign w:val="bottom"/>
          </w:tcPr>
          <w:p w14:paraId="592A1733" w14:textId="7B6616E3" w:rsidR="00871089" w:rsidRPr="00871089" w:rsidRDefault="00871089" w:rsidP="00871089">
            <w:pPr>
              <w:rPr>
                <w:rFonts w:cstheme="minorHAnsi"/>
                <w:szCs w:val="20"/>
              </w:rPr>
            </w:pPr>
            <w:r w:rsidRPr="00871089">
              <w:rPr>
                <w:rFonts w:cstheme="minorHAnsi"/>
                <w:szCs w:val="20"/>
              </w:rPr>
              <w:t>Classroom DX Furnace Occupancy Sensor Control - Education - Relocatable Classroom</w:t>
            </w:r>
          </w:p>
        </w:tc>
      </w:tr>
      <w:tr w:rsidR="00871089" w:rsidRPr="00871089" w14:paraId="1A79578E" w14:textId="77777777" w:rsidTr="000E6611">
        <w:trPr>
          <w:trHeight w:val="243"/>
          <w:jc w:val="center"/>
        </w:trPr>
        <w:tc>
          <w:tcPr>
            <w:tcW w:w="539" w:type="pct"/>
          </w:tcPr>
          <w:p w14:paraId="12597939" w14:textId="77777777" w:rsidR="00871089" w:rsidRPr="00871089" w:rsidRDefault="00871089" w:rsidP="00871089">
            <w:pPr>
              <w:rPr>
                <w:rFonts w:cstheme="minorHAnsi"/>
                <w:color w:val="FF0000"/>
                <w:szCs w:val="20"/>
              </w:rPr>
            </w:pPr>
          </w:p>
        </w:tc>
        <w:tc>
          <w:tcPr>
            <w:tcW w:w="539" w:type="pct"/>
          </w:tcPr>
          <w:p w14:paraId="0D8C4937" w14:textId="77777777" w:rsidR="00871089" w:rsidRPr="00871089" w:rsidRDefault="00871089" w:rsidP="00871089">
            <w:pPr>
              <w:rPr>
                <w:rFonts w:cstheme="minorHAnsi"/>
                <w:color w:val="FF0000"/>
                <w:szCs w:val="20"/>
              </w:rPr>
            </w:pPr>
          </w:p>
        </w:tc>
        <w:tc>
          <w:tcPr>
            <w:tcW w:w="605" w:type="pct"/>
            <w:vAlign w:val="center"/>
          </w:tcPr>
          <w:p w14:paraId="59E17DB9" w14:textId="0E148932" w:rsidR="00871089" w:rsidRPr="00871089" w:rsidRDefault="000E6611" w:rsidP="000E6611">
            <w:pPr>
              <w:jc w:val="center"/>
              <w:rPr>
                <w:rFonts w:cstheme="minorHAnsi"/>
                <w:szCs w:val="20"/>
              </w:rPr>
            </w:pPr>
            <w:r w:rsidRPr="00DD559B">
              <w:t>AC-20489</w:t>
            </w:r>
          </w:p>
        </w:tc>
        <w:tc>
          <w:tcPr>
            <w:tcW w:w="480" w:type="pct"/>
            <w:tcBorders>
              <w:right w:val="single" w:sz="4" w:space="0" w:color="auto"/>
            </w:tcBorders>
          </w:tcPr>
          <w:p w14:paraId="3AA10BA2" w14:textId="39FBDB30" w:rsidR="00871089" w:rsidRPr="00871089" w:rsidRDefault="00871089" w:rsidP="00871089">
            <w:pPr>
              <w:rPr>
                <w:rFonts w:cstheme="minorHAnsi"/>
                <w:szCs w:val="20"/>
              </w:rPr>
            </w:pPr>
          </w:p>
        </w:tc>
        <w:tc>
          <w:tcPr>
            <w:tcW w:w="2837" w:type="pct"/>
            <w:tcBorders>
              <w:left w:val="single" w:sz="4" w:space="0" w:color="auto"/>
            </w:tcBorders>
          </w:tcPr>
          <w:p w14:paraId="4F480F21" w14:textId="2F508EEB" w:rsidR="00871089" w:rsidRPr="00871089" w:rsidRDefault="00871089" w:rsidP="00871089">
            <w:pPr>
              <w:rPr>
                <w:rFonts w:cstheme="minorHAnsi"/>
                <w:szCs w:val="20"/>
              </w:rPr>
            </w:pPr>
            <w:r w:rsidRPr="00DD559B">
              <w:t>Classroom DX Furnace Occupancy Sensor Control - Education - Secondary School</w:t>
            </w:r>
          </w:p>
        </w:tc>
      </w:tr>
      <w:tr w:rsidR="000E6611" w:rsidRPr="00871089" w14:paraId="7D8070EB" w14:textId="77777777" w:rsidTr="000E6611">
        <w:trPr>
          <w:trHeight w:val="243"/>
          <w:jc w:val="center"/>
        </w:trPr>
        <w:tc>
          <w:tcPr>
            <w:tcW w:w="539" w:type="pct"/>
          </w:tcPr>
          <w:p w14:paraId="71FA4201" w14:textId="77777777" w:rsidR="000E6611" w:rsidRPr="00871089" w:rsidRDefault="000E6611" w:rsidP="000E6611">
            <w:pPr>
              <w:rPr>
                <w:rFonts w:cstheme="minorHAnsi"/>
                <w:color w:val="FF0000"/>
                <w:szCs w:val="20"/>
              </w:rPr>
            </w:pPr>
          </w:p>
        </w:tc>
        <w:tc>
          <w:tcPr>
            <w:tcW w:w="539" w:type="pct"/>
          </w:tcPr>
          <w:p w14:paraId="28C320F1" w14:textId="77777777" w:rsidR="000E6611" w:rsidRPr="00871089" w:rsidRDefault="000E6611" w:rsidP="000E6611">
            <w:pPr>
              <w:rPr>
                <w:rFonts w:cstheme="minorHAnsi"/>
                <w:color w:val="FF0000"/>
                <w:szCs w:val="20"/>
              </w:rPr>
            </w:pPr>
          </w:p>
        </w:tc>
        <w:tc>
          <w:tcPr>
            <w:tcW w:w="605" w:type="pct"/>
            <w:vAlign w:val="center"/>
          </w:tcPr>
          <w:p w14:paraId="60D38BB3" w14:textId="2EA813D2" w:rsidR="000E6611" w:rsidRPr="00871089" w:rsidRDefault="000E6611" w:rsidP="000E6611">
            <w:pPr>
              <w:jc w:val="center"/>
              <w:rPr>
                <w:rFonts w:cstheme="minorHAnsi"/>
                <w:szCs w:val="20"/>
              </w:rPr>
            </w:pPr>
            <w:r>
              <w:rPr>
                <w:rFonts w:cstheme="minorHAnsi"/>
                <w:szCs w:val="20"/>
              </w:rPr>
              <w:t>AC-68775</w:t>
            </w:r>
          </w:p>
        </w:tc>
        <w:tc>
          <w:tcPr>
            <w:tcW w:w="480" w:type="pct"/>
            <w:tcBorders>
              <w:right w:val="single" w:sz="4" w:space="0" w:color="auto"/>
            </w:tcBorders>
          </w:tcPr>
          <w:p w14:paraId="2EA33D2D" w14:textId="77777777" w:rsidR="000E6611" w:rsidRPr="00871089" w:rsidRDefault="000E6611" w:rsidP="000E6611">
            <w:pPr>
              <w:rPr>
                <w:rFonts w:cstheme="minorHAnsi"/>
                <w:szCs w:val="20"/>
              </w:rPr>
            </w:pPr>
          </w:p>
        </w:tc>
        <w:tc>
          <w:tcPr>
            <w:tcW w:w="2837" w:type="pct"/>
            <w:tcBorders>
              <w:left w:val="single" w:sz="4" w:space="0" w:color="auto"/>
            </w:tcBorders>
          </w:tcPr>
          <w:p w14:paraId="476EB772" w14:textId="010D2461" w:rsidR="000E6611" w:rsidRPr="00871089" w:rsidRDefault="000E6611" w:rsidP="000E6611">
            <w:pPr>
              <w:rPr>
                <w:rFonts w:cstheme="minorHAnsi"/>
                <w:szCs w:val="20"/>
              </w:rPr>
            </w:pPr>
            <w:r w:rsidRPr="00871089">
              <w:rPr>
                <w:rFonts w:cstheme="minorHAnsi"/>
                <w:szCs w:val="20"/>
              </w:rPr>
              <w:t>Classroom DX Furnace Occupancy Sensor Control - Education - Primary School</w:t>
            </w:r>
          </w:p>
        </w:tc>
      </w:tr>
      <w:tr w:rsidR="000E6611" w:rsidRPr="00871089" w14:paraId="754154BC" w14:textId="77777777" w:rsidTr="000E6611">
        <w:trPr>
          <w:trHeight w:val="243"/>
          <w:jc w:val="center"/>
        </w:trPr>
        <w:tc>
          <w:tcPr>
            <w:tcW w:w="539" w:type="pct"/>
          </w:tcPr>
          <w:p w14:paraId="1B065130" w14:textId="77777777" w:rsidR="000E6611" w:rsidRPr="00871089" w:rsidRDefault="000E6611" w:rsidP="000E6611">
            <w:pPr>
              <w:rPr>
                <w:rFonts w:cstheme="minorHAnsi"/>
                <w:color w:val="FF0000"/>
                <w:szCs w:val="20"/>
              </w:rPr>
            </w:pPr>
          </w:p>
        </w:tc>
        <w:tc>
          <w:tcPr>
            <w:tcW w:w="539" w:type="pct"/>
          </w:tcPr>
          <w:p w14:paraId="5C6551E9" w14:textId="77777777" w:rsidR="000E6611" w:rsidRPr="00871089" w:rsidRDefault="000E6611" w:rsidP="000E6611">
            <w:pPr>
              <w:rPr>
                <w:rFonts w:cstheme="minorHAnsi"/>
                <w:color w:val="FF0000"/>
                <w:szCs w:val="20"/>
              </w:rPr>
            </w:pPr>
          </w:p>
        </w:tc>
        <w:tc>
          <w:tcPr>
            <w:tcW w:w="605" w:type="pct"/>
            <w:vAlign w:val="center"/>
          </w:tcPr>
          <w:p w14:paraId="36044FAE" w14:textId="464BA6F1" w:rsidR="000E6611" w:rsidRPr="00871089" w:rsidRDefault="000E6611" w:rsidP="000E6611">
            <w:pPr>
              <w:jc w:val="center"/>
              <w:rPr>
                <w:rFonts w:cstheme="minorHAnsi"/>
                <w:szCs w:val="20"/>
              </w:rPr>
            </w:pPr>
            <w:r w:rsidRPr="00871089">
              <w:rPr>
                <w:rFonts w:cstheme="minorHAnsi"/>
                <w:szCs w:val="20"/>
              </w:rPr>
              <w:t>AC-20493</w:t>
            </w:r>
          </w:p>
        </w:tc>
        <w:tc>
          <w:tcPr>
            <w:tcW w:w="480" w:type="pct"/>
            <w:tcBorders>
              <w:top w:val="single" w:sz="4" w:space="0" w:color="auto"/>
              <w:left w:val="nil"/>
              <w:bottom w:val="single" w:sz="4" w:space="0" w:color="auto"/>
              <w:right w:val="single" w:sz="4" w:space="0" w:color="auto"/>
            </w:tcBorders>
            <w:shd w:val="clear" w:color="auto" w:fill="auto"/>
            <w:vAlign w:val="bottom"/>
          </w:tcPr>
          <w:p w14:paraId="5E719F99" w14:textId="55C6CA4C" w:rsidR="000E6611" w:rsidRPr="00871089" w:rsidRDefault="000E6611" w:rsidP="000E6611">
            <w:pPr>
              <w:rPr>
                <w:rFonts w:cstheme="minorHAnsi"/>
                <w:szCs w:val="20"/>
              </w:rPr>
            </w:pPr>
          </w:p>
        </w:tc>
        <w:tc>
          <w:tcPr>
            <w:tcW w:w="2837" w:type="pct"/>
            <w:tcBorders>
              <w:top w:val="nil"/>
              <w:left w:val="single" w:sz="4" w:space="0" w:color="auto"/>
              <w:bottom w:val="nil"/>
              <w:right w:val="nil"/>
            </w:tcBorders>
            <w:shd w:val="clear" w:color="auto" w:fill="auto"/>
            <w:vAlign w:val="bottom"/>
          </w:tcPr>
          <w:p w14:paraId="4804A52C" w14:textId="681585A1" w:rsidR="000E6611" w:rsidRPr="00871089" w:rsidRDefault="000E6611" w:rsidP="000E6611">
            <w:pPr>
              <w:rPr>
                <w:rFonts w:cstheme="minorHAnsi"/>
                <w:szCs w:val="20"/>
              </w:rPr>
            </w:pPr>
            <w:r w:rsidRPr="00871089">
              <w:rPr>
                <w:rFonts w:cstheme="minorHAnsi"/>
                <w:szCs w:val="20"/>
              </w:rPr>
              <w:t>Classroom Heat Pump Occupancy Sensor Control - Education - Relocatable Classroom</w:t>
            </w:r>
          </w:p>
        </w:tc>
      </w:tr>
      <w:tr w:rsidR="000E6611" w:rsidRPr="00871089" w14:paraId="6524B08D" w14:textId="77777777" w:rsidTr="000E6611">
        <w:trPr>
          <w:trHeight w:val="243"/>
          <w:jc w:val="center"/>
        </w:trPr>
        <w:tc>
          <w:tcPr>
            <w:tcW w:w="539" w:type="pct"/>
          </w:tcPr>
          <w:p w14:paraId="665CA2A3" w14:textId="77777777" w:rsidR="000E6611" w:rsidRPr="00871089" w:rsidRDefault="000E6611" w:rsidP="000E6611">
            <w:pPr>
              <w:rPr>
                <w:rFonts w:cstheme="minorHAnsi"/>
                <w:color w:val="FF0000"/>
                <w:szCs w:val="20"/>
              </w:rPr>
            </w:pPr>
          </w:p>
        </w:tc>
        <w:tc>
          <w:tcPr>
            <w:tcW w:w="539" w:type="pct"/>
          </w:tcPr>
          <w:p w14:paraId="0AD82840" w14:textId="77777777" w:rsidR="000E6611" w:rsidRPr="00871089" w:rsidRDefault="000E6611" w:rsidP="000E6611">
            <w:pPr>
              <w:rPr>
                <w:rFonts w:cstheme="minorHAnsi"/>
                <w:color w:val="FF0000"/>
                <w:szCs w:val="20"/>
              </w:rPr>
            </w:pPr>
          </w:p>
        </w:tc>
        <w:tc>
          <w:tcPr>
            <w:tcW w:w="605" w:type="pct"/>
            <w:vAlign w:val="center"/>
          </w:tcPr>
          <w:p w14:paraId="218CDB58" w14:textId="7B80D34C" w:rsidR="000E6611" w:rsidRPr="00871089" w:rsidRDefault="000E6611" w:rsidP="000E6611">
            <w:pPr>
              <w:jc w:val="center"/>
              <w:rPr>
                <w:rFonts w:cstheme="minorHAnsi"/>
                <w:color w:val="FF0000"/>
                <w:szCs w:val="20"/>
              </w:rPr>
            </w:pPr>
            <w:r w:rsidRPr="006C36CD">
              <w:t>AC-20490</w:t>
            </w:r>
          </w:p>
        </w:tc>
        <w:tc>
          <w:tcPr>
            <w:tcW w:w="480" w:type="pct"/>
            <w:tcBorders>
              <w:right w:val="single" w:sz="4" w:space="0" w:color="auto"/>
            </w:tcBorders>
          </w:tcPr>
          <w:p w14:paraId="33C78C5F" w14:textId="26ED5FCC" w:rsidR="000E6611" w:rsidRPr="00871089" w:rsidRDefault="000E6611" w:rsidP="000E6611">
            <w:pPr>
              <w:rPr>
                <w:rFonts w:cstheme="minorHAnsi"/>
                <w:color w:val="FF0000"/>
                <w:szCs w:val="20"/>
              </w:rPr>
            </w:pPr>
          </w:p>
        </w:tc>
        <w:tc>
          <w:tcPr>
            <w:tcW w:w="2837" w:type="pct"/>
            <w:tcBorders>
              <w:left w:val="single" w:sz="4" w:space="0" w:color="auto"/>
            </w:tcBorders>
          </w:tcPr>
          <w:p w14:paraId="0960E458" w14:textId="65DA37BD" w:rsidR="000E6611" w:rsidRPr="00871089" w:rsidRDefault="000E6611" w:rsidP="000E6611">
            <w:pPr>
              <w:rPr>
                <w:rFonts w:cstheme="minorHAnsi"/>
                <w:color w:val="FF0000"/>
                <w:szCs w:val="20"/>
              </w:rPr>
            </w:pPr>
            <w:r w:rsidRPr="006C36CD">
              <w:t>Classroom Heat Pump Occupancy Sensor Control - Education - Secondary School</w:t>
            </w:r>
          </w:p>
        </w:tc>
      </w:tr>
      <w:tr w:rsidR="000E6611" w:rsidRPr="00871089" w14:paraId="218BBB16" w14:textId="77777777" w:rsidTr="000E6611">
        <w:trPr>
          <w:trHeight w:val="243"/>
          <w:jc w:val="center"/>
        </w:trPr>
        <w:tc>
          <w:tcPr>
            <w:tcW w:w="539" w:type="pct"/>
          </w:tcPr>
          <w:p w14:paraId="4D21C0FC" w14:textId="77777777" w:rsidR="000E6611" w:rsidRPr="00871089" w:rsidRDefault="000E6611" w:rsidP="000E6611">
            <w:pPr>
              <w:rPr>
                <w:rFonts w:cstheme="minorHAnsi"/>
                <w:color w:val="FF0000"/>
                <w:szCs w:val="20"/>
              </w:rPr>
            </w:pPr>
          </w:p>
        </w:tc>
        <w:tc>
          <w:tcPr>
            <w:tcW w:w="539" w:type="pct"/>
          </w:tcPr>
          <w:p w14:paraId="22F55F1D" w14:textId="77777777" w:rsidR="000E6611" w:rsidRPr="00871089" w:rsidRDefault="000E6611" w:rsidP="000E6611">
            <w:pPr>
              <w:rPr>
                <w:rFonts w:cstheme="minorHAnsi"/>
                <w:color w:val="FF0000"/>
                <w:szCs w:val="20"/>
              </w:rPr>
            </w:pPr>
          </w:p>
        </w:tc>
        <w:tc>
          <w:tcPr>
            <w:tcW w:w="605" w:type="pct"/>
            <w:vAlign w:val="center"/>
          </w:tcPr>
          <w:p w14:paraId="3A4E8DAA" w14:textId="744950CB" w:rsidR="000E6611" w:rsidRPr="006C36CD" w:rsidRDefault="000E6611" w:rsidP="000E6611">
            <w:pPr>
              <w:jc w:val="center"/>
            </w:pPr>
            <w:r w:rsidRPr="00871089">
              <w:rPr>
                <w:rFonts w:cstheme="minorHAnsi"/>
                <w:szCs w:val="20"/>
              </w:rPr>
              <w:t>AC-72229</w:t>
            </w:r>
          </w:p>
        </w:tc>
        <w:tc>
          <w:tcPr>
            <w:tcW w:w="480" w:type="pct"/>
            <w:tcBorders>
              <w:right w:val="single" w:sz="4" w:space="0" w:color="auto"/>
            </w:tcBorders>
          </w:tcPr>
          <w:p w14:paraId="729D7A16" w14:textId="77777777" w:rsidR="000E6611" w:rsidRPr="00871089" w:rsidRDefault="000E6611" w:rsidP="000E6611">
            <w:pPr>
              <w:rPr>
                <w:rFonts w:cstheme="minorHAnsi"/>
                <w:color w:val="FF0000"/>
                <w:szCs w:val="20"/>
              </w:rPr>
            </w:pPr>
          </w:p>
        </w:tc>
        <w:tc>
          <w:tcPr>
            <w:tcW w:w="2837" w:type="pct"/>
            <w:tcBorders>
              <w:left w:val="single" w:sz="4" w:space="0" w:color="auto"/>
            </w:tcBorders>
          </w:tcPr>
          <w:p w14:paraId="1E619B33" w14:textId="3BAD7E32" w:rsidR="000E6611" w:rsidRPr="006C36CD" w:rsidRDefault="000E6611" w:rsidP="000E6611">
            <w:r w:rsidRPr="00871089">
              <w:rPr>
                <w:rFonts w:cstheme="minorHAnsi"/>
                <w:szCs w:val="20"/>
              </w:rPr>
              <w:t>Classroom Heat Pump Occupancy Sensor Control - Education - Primary School</w:t>
            </w:r>
          </w:p>
        </w:tc>
      </w:tr>
    </w:tbl>
    <w:p w14:paraId="3AF714EF" w14:textId="77777777" w:rsidR="00760CDC" w:rsidRDefault="00760CDC" w:rsidP="00697868">
      <w:pPr>
        <w:pStyle w:val="Reminders"/>
        <w:rPr>
          <w:rFonts w:asciiTheme="minorHAnsi" w:hAnsiTheme="minorHAnsi" w:cstheme="minorHAnsi"/>
          <w:i w:val="0"/>
          <w:szCs w:val="22"/>
        </w:rPr>
      </w:pPr>
    </w:p>
    <w:p w14:paraId="59177A4B" w14:textId="6016655A" w:rsidR="0074742A" w:rsidRDefault="00092386" w:rsidP="00092386">
      <w:pPr>
        <w:pStyle w:val="CommentText"/>
        <w:rPr>
          <w:rFonts w:cstheme="minorHAnsi"/>
          <w:sz w:val="22"/>
          <w:szCs w:val="22"/>
        </w:rPr>
      </w:pPr>
      <w:r>
        <w:rPr>
          <w:rFonts w:cstheme="minorHAnsi"/>
          <w:sz w:val="22"/>
          <w:szCs w:val="22"/>
        </w:rPr>
        <w:t xml:space="preserve">The measure is only for </w:t>
      </w:r>
      <w:r w:rsidR="0074742A">
        <w:rPr>
          <w:rFonts w:cstheme="minorHAnsi"/>
          <w:sz w:val="22"/>
          <w:szCs w:val="22"/>
        </w:rPr>
        <w:t>classrooms in Education Primary Schools, Education Secondary Schools and Education Re</w:t>
      </w:r>
      <w:r w:rsidR="00756BDA">
        <w:rPr>
          <w:rFonts w:cstheme="minorHAnsi"/>
          <w:sz w:val="22"/>
          <w:szCs w:val="22"/>
        </w:rPr>
        <w:t>-</w:t>
      </w:r>
      <w:r w:rsidR="0074742A">
        <w:rPr>
          <w:rFonts w:cstheme="minorHAnsi"/>
          <w:sz w:val="22"/>
          <w:szCs w:val="22"/>
        </w:rPr>
        <w:t xml:space="preserve">locatable Classrooms. This measure is not applicable for Education Community Colleges and Education Universities, unless these buildings have relocatable classrooms with packaged units. </w:t>
      </w:r>
    </w:p>
    <w:p w14:paraId="36A151CB" w14:textId="77777777" w:rsidR="0074742A" w:rsidRDefault="0074742A" w:rsidP="00092386">
      <w:pPr>
        <w:pStyle w:val="CommentText"/>
        <w:rPr>
          <w:rFonts w:cstheme="minorHAnsi"/>
          <w:sz w:val="22"/>
          <w:szCs w:val="22"/>
        </w:rPr>
      </w:pPr>
    </w:p>
    <w:p w14:paraId="45B1AA22" w14:textId="7004E75F" w:rsidR="00092386" w:rsidRPr="00D53CA2" w:rsidRDefault="00092386" w:rsidP="00092386">
      <w:pPr>
        <w:pStyle w:val="CommentText"/>
        <w:rPr>
          <w:rFonts w:cstheme="minorHAnsi"/>
          <w:sz w:val="22"/>
          <w:szCs w:val="22"/>
        </w:rPr>
      </w:pPr>
      <w:r w:rsidRPr="00D53CA2">
        <w:rPr>
          <w:rFonts w:cstheme="minorHAnsi"/>
          <w:sz w:val="22"/>
          <w:szCs w:val="22"/>
        </w:rPr>
        <w:lastRenderedPageBreak/>
        <w:t xml:space="preserve">The measure requires installation of an </w:t>
      </w:r>
      <w:r w:rsidR="00632EF5">
        <w:rPr>
          <w:rFonts w:cstheme="minorHAnsi"/>
          <w:sz w:val="22"/>
          <w:szCs w:val="22"/>
        </w:rPr>
        <w:t xml:space="preserve">HVAC </w:t>
      </w:r>
      <w:r w:rsidRPr="00D53CA2">
        <w:rPr>
          <w:rFonts w:cstheme="minorHAnsi"/>
          <w:sz w:val="22"/>
          <w:szCs w:val="22"/>
        </w:rPr>
        <w:t xml:space="preserve">occupancy sensing thermostat in the classroom. This </w:t>
      </w:r>
      <w:r>
        <w:rPr>
          <w:rFonts w:cstheme="minorHAnsi"/>
          <w:sz w:val="22"/>
          <w:szCs w:val="22"/>
        </w:rPr>
        <w:t xml:space="preserve">control </w:t>
      </w:r>
      <w:r w:rsidRPr="00D53CA2">
        <w:rPr>
          <w:rFonts w:cstheme="minorHAnsi"/>
          <w:sz w:val="22"/>
          <w:szCs w:val="22"/>
        </w:rPr>
        <w:t>equipment includes, but is not limited to:</w:t>
      </w:r>
    </w:p>
    <w:p w14:paraId="4BD8B4A4" w14:textId="77777777" w:rsidR="00092386" w:rsidRPr="00D53CA2" w:rsidRDefault="00092386" w:rsidP="00092386">
      <w:pPr>
        <w:pStyle w:val="CommentText"/>
        <w:rPr>
          <w:rFonts w:cstheme="minorHAnsi"/>
          <w:sz w:val="22"/>
          <w:szCs w:val="22"/>
        </w:rPr>
      </w:pPr>
    </w:p>
    <w:p w14:paraId="5396CCB2" w14:textId="77777777" w:rsidR="00092386" w:rsidRPr="00D53CA2" w:rsidRDefault="00092386" w:rsidP="00D56D2C">
      <w:pPr>
        <w:pStyle w:val="CommentText"/>
        <w:numPr>
          <w:ilvl w:val="0"/>
          <w:numId w:val="5"/>
        </w:numPr>
        <w:rPr>
          <w:rFonts w:cstheme="minorHAnsi"/>
          <w:sz w:val="22"/>
          <w:szCs w:val="22"/>
        </w:rPr>
      </w:pPr>
      <w:r w:rsidRPr="00D53CA2">
        <w:rPr>
          <w:rFonts w:cstheme="minorHAnsi"/>
          <w:sz w:val="22"/>
          <w:szCs w:val="22"/>
        </w:rPr>
        <w:t>An occupancy sensing thermostat</w:t>
      </w:r>
    </w:p>
    <w:p w14:paraId="5B37AFB0" w14:textId="77777777" w:rsidR="00092386" w:rsidRPr="00D53CA2" w:rsidRDefault="00092386" w:rsidP="00D56D2C">
      <w:pPr>
        <w:pStyle w:val="CommentText"/>
        <w:numPr>
          <w:ilvl w:val="0"/>
          <w:numId w:val="5"/>
        </w:numPr>
        <w:rPr>
          <w:rFonts w:cstheme="minorHAnsi"/>
          <w:sz w:val="22"/>
          <w:szCs w:val="22"/>
        </w:rPr>
      </w:pPr>
      <w:r w:rsidRPr="00D53CA2">
        <w:rPr>
          <w:rFonts w:cstheme="minorHAnsi"/>
          <w:sz w:val="22"/>
          <w:szCs w:val="22"/>
        </w:rPr>
        <w:t>An occupancy sensor (wired or wireless)</w:t>
      </w:r>
    </w:p>
    <w:p w14:paraId="025BE9C7" w14:textId="77777777" w:rsidR="00092386" w:rsidRPr="00D53CA2" w:rsidRDefault="00092386" w:rsidP="00D56D2C">
      <w:pPr>
        <w:pStyle w:val="CommentText"/>
        <w:numPr>
          <w:ilvl w:val="0"/>
          <w:numId w:val="5"/>
        </w:numPr>
        <w:rPr>
          <w:rFonts w:cstheme="minorHAnsi"/>
          <w:sz w:val="22"/>
          <w:szCs w:val="22"/>
        </w:rPr>
      </w:pPr>
      <w:r w:rsidRPr="00D53CA2">
        <w:rPr>
          <w:rFonts w:cstheme="minorHAnsi"/>
          <w:sz w:val="22"/>
          <w:szCs w:val="22"/>
        </w:rPr>
        <w:t>Wiring (if wired)</w:t>
      </w:r>
    </w:p>
    <w:p w14:paraId="1B242DEB" w14:textId="3C02002D" w:rsidR="00092386" w:rsidRPr="00D53CA2" w:rsidRDefault="00092386" w:rsidP="00D56D2C">
      <w:pPr>
        <w:pStyle w:val="CommentText"/>
        <w:numPr>
          <w:ilvl w:val="0"/>
          <w:numId w:val="5"/>
        </w:numPr>
        <w:rPr>
          <w:rFonts w:cstheme="minorHAnsi"/>
          <w:sz w:val="22"/>
          <w:szCs w:val="22"/>
        </w:rPr>
      </w:pPr>
      <w:r w:rsidRPr="00D53CA2">
        <w:rPr>
          <w:rFonts w:cstheme="minorHAnsi"/>
          <w:sz w:val="22"/>
          <w:szCs w:val="22"/>
        </w:rPr>
        <w:t xml:space="preserve">Signal </w:t>
      </w:r>
      <w:r w:rsidR="00A5494C" w:rsidRPr="00D53CA2">
        <w:rPr>
          <w:rFonts w:cstheme="minorHAnsi"/>
          <w:sz w:val="22"/>
          <w:szCs w:val="22"/>
        </w:rPr>
        <w:t>receiver and</w:t>
      </w:r>
      <w:r w:rsidRPr="00D53CA2">
        <w:rPr>
          <w:rFonts w:cstheme="minorHAnsi"/>
          <w:sz w:val="22"/>
          <w:szCs w:val="22"/>
        </w:rPr>
        <w:t xml:space="preserve"> power pack (if wireless) </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63BE818B" w14:textId="612E728B" w:rsidR="00A5494C" w:rsidRDefault="00092386" w:rsidP="00092386">
      <w:pPr>
        <w:pStyle w:val="Reminders"/>
        <w:tabs>
          <w:tab w:val="num" w:pos="360"/>
        </w:tabs>
        <w:rPr>
          <w:rFonts w:asciiTheme="minorHAnsi" w:hAnsiTheme="minorHAnsi" w:cstheme="minorHAnsi"/>
          <w:i w:val="0"/>
          <w:color w:val="auto"/>
          <w:szCs w:val="22"/>
        </w:rPr>
      </w:pPr>
      <w:r w:rsidRPr="00A1066E">
        <w:rPr>
          <w:rFonts w:asciiTheme="minorHAnsi" w:hAnsiTheme="minorHAnsi" w:cstheme="minorHAnsi"/>
          <w:i w:val="0"/>
          <w:color w:val="auto"/>
          <w:szCs w:val="22"/>
        </w:rPr>
        <w:t xml:space="preserve">Energy Savings from this measure are </w:t>
      </w:r>
      <w:r w:rsidR="00544D19">
        <w:rPr>
          <w:rFonts w:asciiTheme="minorHAnsi" w:hAnsiTheme="minorHAnsi" w:cstheme="minorHAnsi"/>
          <w:i w:val="0"/>
          <w:color w:val="auto"/>
          <w:szCs w:val="22"/>
        </w:rPr>
        <w:t>a result of</w:t>
      </w:r>
      <w:r w:rsidRPr="00A1066E">
        <w:rPr>
          <w:rFonts w:asciiTheme="minorHAnsi" w:hAnsiTheme="minorHAnsi" w:cstheme="minorHAnsi"/>
          <w:i w:val="0"/>
          <w:color w:val="auto"/>
          <w:szCs w:val="22"/>
        </w:rPr>
        <w:t xml:space="preserve"> reduced run time of the HVAC system (fans, compressors, furnaces) due to the</w:t>
      </w:r>
      <w:r w:rsidR="00346AF4">
        <w:rPr>
          <w:rFonts w:asciiTheme="minorHAnsi" w:hAnsiTheme="minorHAnsi" w:cstheme="minorHAnsi"/>
          <w:i w:val="0"/>
          <w:color w:val="auto"/>
          <w:szCs w:val="22"/>
        </w:rPr>
        <w:t xml:space="preserve"> </w:t>
      </w:r>
      <w:r w:rsidR="007126A2">
        <w:rPr>
          <w:rFonts w:asciiTheme="minorHAnsi" w:hAnsiTheme="minorHAnsi" w:cstheme="minorHAnsi"/>
          <w:i w:val="0"/>
          <w:color w:val="auto"/>
          <w:szCs w:val="22"/>
        </w:rPr>
        <w:t xml:space="preserve">temperature </w:t>
      </w:r>
      <w:proofErr w:type="spellStart"/>
      <w:r w:rsidR="00346AF4">
        <w:rPr>
          <w:rFonts w:asciiTheme="minorHAnsi" w:hAnsiTheme="minorHAnsi" w:cstheme="minorHAnsi"/>
          <w:i w:val="0"/>
          <w:color w:val="auto"/>
          <w:szCs w:val="22"/>
        </w:rPr>
        <w:t>setpoints</w:t>
      </w:r>
      <w:proofErr w:type="spellEnd"/>
      <w:r w:rsidR="00346AF4">
        <w:rPr>
          <w:rFonts w:asciiTheme="minorHAnsi" w:hAnsiTheme="minorHAnsi" w:cstheme="minorHAnsi"/>
          <w:i w:val="0"/>
          <w:color w:val="auto"/>
          <w:szCs w:val="22"/>
        </w:rPr>
        <w:t xml:space="preserve"> </w:t>
      </w:r>
      <w:r w:rsidR="00A5494C">
        <w:rPr>
          <w:rFonts w:asciiTheme="minorHAnsi" w:hAnsiTheme="minorHAnsi" w:cstheme="minorHAnsi"/>
          <w:i w:val="0"/>
          <w:color w:val="auto"/>
          <w:szCs w:val="22"/>
        </w:rPr>
        <w:t xml:space="preserve">setback to unoccupied mode when there is no occupancy during </w:t>
      </w:r>
      <w:r w:rsidR="00681ABC">
        <w:rPr>
          <w:rFonts w:asciiTheme="minorHAnsi" w:hAnsiTheme="minorHAnsi" w:cstheme="minorHAnsi"/>
          <w:i w:val="0"/>
          <w:color w:val="auto"/>
          <w:szCs w:val="22"/>
        </w:rPr>
        <w:t xml:space="preserve">the school </w:t>
      </w:r>
      <w:r w:rsidR="00A5494C">
        <w:rPr>
          <w:rFonts w:asciiTheme="minorHAnsi" w:hAnsiTheme="minorHAnsi" w:cstheme="minorHAnsi"/>
          <w:i w:val="0"/>
          <w:color w:val="auto"/>
          <w:szCs w:val="22"/>
        </w:rPr>
        <w:t xml:space="preserve">hours. </w:t>
      </w:r>
      <w:r w:rsidR="00A063E6">
        <w:rPr>
          <w:rFonts w:asciiTheme="minorHAnsi" w:hAnsiTheme="minorHAnsi" w:cstheme="minorHAnsi"/>
          <w:i w:val="0"/>
          <w:color w:val="auto"/>
          <w:szCs w:val="22"/>
        </w:rPr>
        <w:t xml:space="preserve">The unoccupied mode </w:t>
      </w:r>
      <w:r w:rsidR="00B22D89">
        <w:rPr>
          <w:rFonts w:asciiTheme="minorHAnsi" w:hAnsiTheme="minorHAnsi" w:cstheme="minorHAnsi"/>
          <w:i w:val="0"/>
          <w:color w:val="auto"/>
          <w:szCs w:val="22"/>
        </w:rPr>
        <w:t xml:space="preserve">temperature </w:t>
      </w:r>
      <w:r w:rsidR="00A063E6">
        <w:rPr>
          <w:rFonts w:asciiTheme="minorHAnsi" w:hAnsiTheme="minorHAnsi" w:cstheme="minorHAnsi"/>
          <w:i w:val="0"/>
          <w:color w:val="auto"/>
          <w:szCs w:val="22"/>
        </w:rPr>
        <w:t xml:space="preserve">set points are 86 </w:t>
      </w:r>
      <w:proofErr w:type="spellStart"/>
      <w:r w:rsidR="00A063E6" w:rsidRPr="009B2228">
        <w:rPr>
          <w:rFonts w:asciiTheme="minorHAnsi" w:hAnsiTheme="minorHAnsi" w:cstheme="minorHAnsi"/>
          <w:i w:val="0"/>
          <w:color w:val="auto"/>
          <w:szCs w:val="22"/>
          <w:vertAlign w:val="superscript"/>
        </w:rPr>
        <w:t>o</w:t>
      </w:r>
      <w:r w:rsidR="00A063E6">
        <w:rPr>
          <w:rFonts w:asciiTheme="minorHAnsi" w:hAnsiTheme="minorHAnsi" w:cstheme="minorHAnsi"/>
          <w:i w:val="0"/>
          <w:color w:val="auto"/>
          <w:szCs w:val="22"/>
        </w:rPr>
        <w:t>F</w:t>
      </w:r>
      <w:proofErr w:type="spellEnd"/>
      <w:r w:rsidR="00A063E6">
        <w:rPr>
          <w:rFonts w:asciiTheme="minorHAnsi" w:hAnsiTheme="minorHAnsi" w:cstheme="minorHAnsi"/>
          <w:i w:val="0"/>
          <w:color w:val="auto"/>
          <w:szCs w:val="22"/>
        </w:rPr>
        <w:t xml:space="preserve"> for cooling and 62 </w:t>
      </w:r>
      <w:proofErr w:type="spellStart"/>
      <w:r w:rsidR="00A063E6" w:rsidRPr="00DC118C">
        <w:rPr>
          <w:rFonts w:asciiTheme="minorHAnsi" w:hAnsiTheme="minorHAnsi" w:cstheme="minorHAnsi"/>
          <w:i w:val="0"/>
          <w:color w:val="auto"/>
          <w:szCs w:val="22"/>
          <w:vertAlign w:val="superscript"/>
        </w:rPr>
        <w:t>o</w:t>
      </w:r>
      <w:r w:rsidR="00A063E6">
        <w:rPr>
          <w:rFonts w:asciiTheme="minorHAnsi" w:hAnsiTheme="minorHAnsi" w:cstheme="minorHAnsi"/>
          <w:i w:val="0"/>
          <w:color w:val="auto"/>
          <w:szCs w:val="22"/>
        </w:rPr>
        <w:t>F</w:t>
      </w:r>
      <w:proofErr w:type="spellEnd"/>
      <w:r w:rsidR="00A063E6">
        <w:rPr>
          <w:rFonts w:asciiTheme="minorHAnsi" w:hAnsiTheme="minorHAnsi" w:cstheme="minorHAnsi"/>
          <w:i w:val="0"/>
          <w:color w:val="auto"/>
          <w:szCs w:val="22"/>
        </w:rPr>
        <w:t xml:space="preserve"> for heating. </w:t>
      </w:r>
      <w:r w:rsidR="00346AF4">
        <w:rPr>
          <w:rFonts w:asciiTheme="minorHAnsi" w:hAnsiTheme="minorHAnsi" w:cstheme="minorHAnsi"/>
          <w:i w:val="0"/>
          <w:color w:val="auto"/>
          <w:szCs w:val="22"/>
        </w:rPr>
        <w:t xml:space="preserve">The HVAC units cycle on/off to meet the </w:t>
      </w:r>
      <w:r w:rsidR="00B22D89">
        <w:rPr>
          <w:rFonts w:asciiTheme="minorHAnsi" w:hAnsiTheme="minorHAnsi" w:cstheme="minorHAnsi"/>
          <w:i w:val="0"/>
          <w:color w:val="auto"/>
          <w:szCs w:val="22"/>
        </w:rPr>
        <w:t xml:space="preserve">temperature </w:t>
      </w:r>
      <w:proofErr w:type="spellStart"/>
      <w:r w:rsidR="00346AF4">
        <w:rPr>
          <w:rFonts w:asciiTheme="minorHAnsi" w:hAnsiTheme="minorHAnsi" w:cstheme="minorHAnsi"/>
          <w:i w:val="0"/>
          <w:color w:val="auto"/>
          <w:szCs w:val="22"/>
        </w:rPr>
        <w:t>setpoints</w:t>
      </w:r>
      <w:proofErr w:type="spellEnd"/>
      <w:r w:rsidR="00346AF4">
        <w:rPr>
          <w:rFonts w:asciiTheme="minorHAnsi" w:hAnsiTheme="minorHAnsi" w:cstheme="minorHAnsi"/>
          <w:i w:val="0"/>
          <w:color w:val="auto"/>
          <w:szCs w:val="22"/>
        </w:rPr>
        <w:t xml:space="preserve">. </w:t>
      </w:r>
    </w:p>
    <w:p w14:paraId="11D9F41A" w14:textId="77777777"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4FCF15C3" w14:textId="697E70B0" w:rsidR="00092386" w:rsidRPr="00A1066E" w:rsidRDefault="00092386" w:rsidP="00092386">
      <w:pPr>
        <w:pStyle w:val="Reminders"/>
        <w:tabs>
          <w:tab w:val="num" w:pos="360"/>
        </w:tabs>
        <w:rPr>
          <w:rFonts w:asciiTheme="minorHAnsi" w:hAnsiTheme="minorHAnsi" w:cstheme="minorHAnsi"/>
          <w:i w:val="0"/>
          <w:color w:val="auto"/>
          <w:szCs w:val="22"/>
        </w:rPr>
      </w:pPr>
      <w:r>
        <w:rPr>
          <w:rFonts w:asciiTheme="minorHAnsi" w:hAnsiTheme="minorHAnsi" w:cstheme="minorHAnsi"/>
          <w:i w:val="0"/>
          <w:color w:val="auto"/>
          <w:szCs w:val="22"/>
        </w:rPr>
        <w:t xml:space="preserve">The measure install type is </w:t>
      </w:r>
      <w:r w:rsidR="000E72E6">
        <w:rPr>
          <w:rFonts w:asciiTheme="minorHAnsi" w:hAnsiTheme="minorHAnsi" w:cstheme="minorHAnsi"/>
          <w:i w:val="0"/>
          <w:color w:val="auto"/>
          <w:szCs w:val="22"/>
        </w:rPr>
        <w:t>Replace on Burnout (ROB</w:t>
      </w:r>
      <w:r>
        <w:rPr>
          <w:rFonts w:asciiTheme="minorHAnsi" w:hAnsiTheme="minorHAnsi" w:cstheme="minorHAnsi"/>
          <w:i w:val="0"/>
          <w:color w:val="auto"/>
          <w:szCs w:val="22"/>
        </w:rPr>
        <w:t>).</w:t>
      </w:r>
    </w:p>
    <w:p w14:paraId="5682C4FC" w14:textId="77777777" w:rsidR="00092386" w:rsidRDefault="00092386" w:rsidP="00920905">
      <w:pPr>
        <w:pStyle w:val="NoSpacing"/>
        <w:rPr>
          <w:b/>
        </w:rPr>
      </w:pPr>
    </w:p>
    <w:p w14:paraId="6D9C3B45" w14:textId="2684F389"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32B60DBE" w:rsidR="006F1B21" w:rsidRPr="00500C4E" w:rsidRDefault="000E72E6" w:rsidP="00E5625D">
            <w:pPr>
              <w:rPr>
                <w:sz w:val="18"/>
                <w:szCs w:val="18"/>
              </w:rPr>
            </w:pPr>
            <w:r>
              <w:rPr>
                <w:sz w:val="18"/>
                <w:szCs w:val="18"/>
              </w:rPr>
              <w:t>Replace on Burnout (ROB</w:t>
            </w:r>
            <w:r w:rsidR="00A063E6">
              <w:rPr>
                <w:sz w:val="18"/>
                <w:szCs w:val="18"/>
              </w:rPr>
              <w:t>)</w:t>
            </w:r>
          </w:p>
        </w:tc>
        <w:tc>
          <w:tcPr>
            <w:tcW w:w="1107" w:type="pct"/>
          </w:tcPr>
          <w:p w14:paraId="733C7F74" w14:textId="6DFAEFC6" w:rsidR="006F1B21" w:rsidRPr="00500C4E" w:rsidRDefault="006F1B21" w:rsidP="00E5625D">
            <w:r w:rsidRPr="00500C4E">
              <w:rPr>
                <w:sz w:val="18"/>
                <w:szCs w:val="18"/>
              </w:rPr>
              <w:t xml:space="preserve">Above </w:t>
            </w:r>
            <w:r w:rsidR="00A063E6">
              <w:rPr>
                <w:sz w:val="18"/>
                <w:szCs w:val="18"/>
              </w:rPr>
              <w:t>Code/ ISP</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0AF84470" w14:textId="77777777" w:rsidR="0040765F" w:rsidRDefault="0040765F" w:rsidP="00697868">
      <w:pPr>
        <w:pStyle w:val="Reminders"/>
        <w:tabs>
          <w:tab w:val="num" w:pos="360"/>
        </w:tabs>
        <w:rPr>
          <w:rFonts w:asciiTheme="minorHAnsi" w:hAnsiTheme="minorHAnsi" w:cstheme="minorHAnsi"/>
          <w:i w:val="0"/>
          <w:color w:val="auto"/>
          <w:szCs w:val="22"/>
        </w:rPr>
      </w:pPr>
    </w:p>
    <w:p w14:paraId="69B7F014" w14:textId="6258FD3F" w:rsidR="00092386" w:rsidRDefault="00092386" w:rsidP="00697868">
      <w:pPr>
        <w:pStyle w:val="Reminders"/>
        <w:tabs>
          <w:tab w:val="num" w:pos="360"/>
        </w:tabs>
        <w:rPr>
          <w:rFonts w:asciiTheme="minorHAnsi" w:hAnsiTheme="minorHAnsi" w:cstheme="minorHAnsi"/>
          <w:i w:val="0"/>
          <w:color w:val="auto"/>
          <w:szCs w:val="22"/>
        </w:rPr>
      </w:pPr>
      <w:r w:rsidRPr="00A1066E">
        <w:rPr>
          <w:rFonts w:asciiTheme="minorHAnsi" w:hAnsiTheme="minorHAnsi" w:cstheme="minorHAnsi"/>
          <w:i w:val="0"/>
          <w:color w:val="auto"/>
          <w:szCs w:val="22"/>
        </w:rPr>
        <w:t>The delivery method is Financial Support – Direct Install</w:t>
      </w:r>
      <w:r>
        <w:rPr>
          <w:rFonts w:asciiTheme="minorHAnsi" w:hAnsiTheme="minorHAnsi" w:cstheme="minorHAnsi"/>
          <w:i w:val="0"/>
          <w:color w:val="auto"/>
          <w:szCs w:val="22"/>
        </w:rPr>
        <w:t>.</w:t>
      </w: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430EC55F" w14:textId="77777777" w:rsidR="00A70646" w:rsidRDefault="00A70646" w:rsidP="00920905">
      <w:pPr>
        <w:pStyle w:val="NoSpacing"/>
      </w:pPr>
    </w:p>
    <w:p w14:paraId="7BCC2724" w14:textId="557F8398"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bl>
    <w:p w14:paraId="1C2ADD3B" w14:textId="3ECA8E91" w:rsidR="001B2301" w:rsidRPr="00500C4E" w:rsidRDefault="001B2301" w:rsidP="00920905"/>
    <w:p w14:paraId="13A3DE38" w14:textId="17E83A3C"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546D726" w14:textId="77777777" w:rsidTr="00920905">
        <w:tc>
          <w:tcPr>
            <w:tcW w:w="1297" w:type="pct"/>
          </w:tcPr>
          <w:p w14:paraId="4A9A4753" w14:textId="3DC239D9"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Direct Install</w:t>
            </w:r>
          </w:p>
        </w:tc>
        <w:tc>
          <w:tcPr>
            <w:tcW w:w="3703" w:type="pct"/>
          </w:tcPr>
          <w:p w14:paraId="1BAF0B07" w14:textId="1E74674E" w:rsidR="001B2301" w:rsidRPr="00920905" w:rsidRDefault="00AA4CDC" w:rsidP="00920905">
            <w:pPr>
              <w:autoSpaceDE w:val="0"/>
              <w:autoSpaceDN w:val="0"/>
              <w:adjustRightInd w:val="0"/>
              <w:rPr>
                <w:sz w:val="18"/>
                <w:szCs w:val="18"/>
              </w:rPr>
            </w:pPr>
            <w:r w:rsidRPr="00920905">
              <w:rPr>
                <w:rFonts w:cs="Helv"/>
                <w:sz w:val="18"/>
                <w:szCs w:val="18"/>
              </w:rPr>
              <w:t xml:space="preserve">The program </w:t>
            </w:r>
            <w:r w:rsidRPr="00920905">
              <w:rPr>
                <w:sz w:val="18"/>
                <w:szCs w:val="18"/>
              </w:rPr>
              <w:t>implements energy efficiency measures for qualifying customers, at no cost to the customer.</w:t>
            </w:r>
          </w:p>
        </w:tc>
      </w:tr>
    </w:tbl>
    <w:p w14:paraId="5D1E5561" w14:textId="77777777" w:rsidR="001B2301" w:rsidRPr="00500C4E" w:rsidRDefault="001B2301"/>
    <w:p w14:paraId="72E47250" w14:textId="2EE5B775" w:rsidR="00E16609" w:rsidRPr="00500C4E" w:rsidRDefault="00824F1C" w:rsidP="00824F1C">
      <w:pPr>
        <w:pStyle w:val="Heading2"/>
        <w:rPr>
          <w:rFonts w:asciiTheme="minorHAnsi" w:hAnsiTheme="minorHAnsi" w:cstheme="minorHAnsi"/>
        </w:rPr>
      </w:pPr>
      <w:bookmarkStart w:id="8"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8"/>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5CC518C7" w14:textId="77777777" w:rsidR="002B3BFB" w:rsidRDefault="002B3BFB" w:rsidP="002B3BFB">
      <w:pPr>
        <w:pStyle w:val="Caption"/>
        <w:keepNext/>
        <w:rPr>
          <w:rFonts w:cs="Arial"/>
          <w:szCs w:val="22"/>
        </w:rPr>
      </w:pPr>
      <w:bookmarkStart w:id="9" w:name="_Toc385592671"/>
      <w:bookmarkStart w:id="10" w:name="_Toc214003087"/>
    </w:p>
    <w:p w14:paraId="127C5859" w14:textId="28B6A27B" w:rsidR="00E326BA" w:rsidRPr="00920905" w:rsidRDefault="00E326BA" w:rsidP="00BD1085">
      <w:pPr>
        <w:pStyle w:val="Caption"/>
        <w:keepNext/>
        <w:rPr>
          <w:rFonts w:cs="Arial"/>
          <w:szCs w:val="22"/>
        </w:rPr>
      </w:pPr>
      <w:r w:rsidRPr="00920905">
        <w:rPr>
          <w:rFonts w:cs="Arial"/>
          <w:szCs w:val="22"/>
        </w:rPr>
        <w:t>DEER Difference Summary</w:t>
      </w:r>
      <w:bookmarkEnd w:id="9"/>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61F8C04B" w:rsidR="00E326BA" w:rsidRPr="002B3BFB" w:rsidRDefault="00E326BA" w:rsidP="00920905">
            <w:pPr>
              <w:rPr>
                <w:rFonts w:cs="Arial"/>
                <w:b/>
                <w:szCs w:val="20"/>
              </w:rPr>
            </w:pPr>
            <w:r w:rsidRPr="002B3BFB">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1EF5D969" w:rsidR="00E326BA" w:rsidRPr="002B3BFB" w:rsidRDefault="00E326BA" w:rsidP="00920905">
            <w:pPr>
              <w:rPr>
                <w:rFonts w:cs="Arial"/>
                <w:szCs w:val="20"/>
              </w:rPr>
            </w:pPr>
            <w:r w:rsidRPr="002B3BFB">
              <w:rPr>
                <w:rFonts w:cs="Arial"/>
                <w:szCs w:val="20"/>
              </w:rPr>
              <w:t>No</w:t>
            </w:r>
          </w:p>
        </w:tc>
      </w:tr>
      <w:tr w:rsidR="00092386" w:rsidRPr="00500C4E" w14:paraId="0E7FA0A8" w14:textId="77777777" w:rsidTr="00920905">
        <w:trPr>
          <w:trHeight w:val="20"/>
        </w:trPr>
        <w:tc>
          <w:tcPr>
            <w:tcW w:w="1548" w:type="pct"/>
          </w:tcPr>
          <w:p w14:paraId="2F3E70F4" w14:textId="2ACC010D" w:rsidR="00092386" w:rsidRPr="00920905" w:rsidRDefault="00092386" w:rsidP="00092386">
            <w:pPr>
              <w:rPr>
                <w:rFonts w:cs="Arial"/>
                <w:szCs w:val="20"/>
              </w:rPr>
            </w:pPr>
            <w:r w:rsidRPr="00920905">
              <w:rPr>
                <w:rFonts w:cs="Arial"/>
                <w:szCs w:val="20"/>
              </w:rPr>
              <w:t xml:space="preserve">DEER </w:t>
            </w:r>
            <w:r w:rsidRPr="00500C4E">
              <w:rPr>
                <w:rFonts w:cs="Arial"/>
                <w:szCs w:val="20"/>
              </w:rPr>
              <w:t>B</w:t>
            </w:r>
            <w:r w:rsidRPr="00920905">
              <w:rPr>
                <w:rFonts w:cs="Arial"/>
                <w:szCs w:val="20"/>
              </w:rPr>
              <w:t xml:space="preserve">ase </w:t>
            </w:r>
            <w:r w:rsidRPr="00500C4E">
              <w:rPr>
                <w:rFonts w:cs="Arial"/>
                <w:szCs w:val="20"/>
              </w:rPr>
              <w:t>C</w:t>
            </w:r>
            <w:r w:rsidRPr="00920905">
              <w:rPr>
                <w:rFonts w:cs="Arial"/>
                <w:szCs w:val="20"/>
              </w:rPr>
              <w:t>ase</w:t>
            </w:r>
          </w:p>
        </w:tc>
        <w:tc>
          <w:tcPr>
            <w:tcW w:w="3452" w:type="pct"/>
          </w:tcPr>
          <w:p w14:paraId="097FFFA9" w14:textId="389809F5" w:rsidR="00092386" w:rsidRPr="002B3BFB" w:rsidRDefault="00092386" w:rsidP="00092386">
            <w:pPr>
              <w:rPr>
                <w:rFonts w:cs="Arial"/>
                <w:szCs w:val="20"/>
              </w:rPr>
            </w:pPr>
            <w:r w:rsidRPr="002B3BFB">
              <w:rPr>
                <w:rFonts w:cs="Arial"/>
                <w:szCs w:val="20"/>
              </w:rPr>
              <w:t>No</w:t>
            </w:r>
          </w:p>
        </w:tc>
      </w:tr>
      <w:tr w:rsidR="00092386" w:rsidRPr="00500C4E" w14:paraId="3C843C04" w14:textId="77777777" w:rsidTr="00920905">
        <w:trPr>
          <w:trHeight w:val="20"/>
        </w:trPr>
        <w:tc>
          <w:tcPr>
            <w:tcW w:w="1548" w:type="pct"/>
          </w:tcPr>
          <w:p w14:paraId="51431197" w14:textId="2E50B486" w:rsidR="00092386" w:rsidRPr="00920905" w:rsidRDefault="00092386" w:rsidP="00092386">
            <w:pPr>
              <w:rPr>
                <w:rFonts w:cs="Arial"/>
                <w:szCs w:val="20"/>
              </w:rPr>
            </w:pPr>
            <w:r w:rsidRPr="00920905">
              <w:rPr>
                <w:rFonts w:cs="Arial"/>
                <w:szCs w:val="20"/>
              </w:rPr>
              <w:t xml:space="preserve">DEER </w:t>
            </w:r>
            <w:r w:rsidRPr="00500C4E">
              <w:rPr>
                <w:rFonts w:cs="Arial"/>
                <w:szCs w:val="20"/>
              </w:rPr>
              <w:t>M</w:t>
            </w:r>
            <w:r w:rsidRPr="00920905">
              <w:rPr>
                <w:rFonts w:cs="Arial"/>
                <w:szCs w:val="20"/>
              </w:rPr>
              <w:t xml:space="preserve">easure </w:t>
            </w:r>
            <w:r w:rsidRPr="00500C4E">
              <w:rPr>
                <w:rFonts w:cs="Arial"/>
                <w:szCs w:val="20"/>
              </w:rPr>
              <w:t>C</w:t>
            </w:r>
            <w:r w:rsidRPr="00920905">
              <w:rPr>
                <w:rFonts w:cs="Arial"/>
                <w:szCs w:val="20"/>
              </w:rPr>
              <w:t>ase</w:t>
            </w:r>
          </w:p>
        </w:tc>
        <w:tc>
          <w:tcPr>
            <w:tcW w:w="3452" w:type="pct"/>
          </w:tcPr>
          <w:p w14:paraId="1506AF6A" w14:textId="3B424046" w:rsidR="00092386" w:rsidRPr="002B3BFB" w:rsidRDefault="00092386" w:rsidP="00092386">
            <w:pPr>
              <w:rPr>
                <w:rFonts w:cs="Arial"/>
                <w:szCs w:val="20"/>
              </w:rPr>
            </w:pPr>
            <w:r w:rsidRPr="002B3BFB">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lastRenderedPageBreak/>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77A88642" w:rsidR="00E326BA" w:rsidRPr="002B3BFB" w:rsidRDefault="00E326BA" w:rsidP="00092386">
            <w:pPr>
              <w:rPr>
                <w:rFonts w:cs="Arial"/>
                <w:szCs w:val="20"/>
              </w:rPr>
            </w:pPr>
            <w:r w:rsidRPr="002B3BFB">
              <w:rPr>
                <w:rFonts w:cs="Arial"/>
                <w:szCs w:val="20"/>
              </w:rPr>
              <w:t>Yes</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2DEC5DF2" w:rsidR="00E326BA" w:rsidRPr="002B3BFB" w:rsidRDefault="00092386" w:rsidP="00920905">
            <w:pPr>
              <w:rPr>
                <w:rFonts w:cs="Arial"/>
                <w:szCs w:val="20"/>
              </w:rPr>
            </w:pPr>
            <w:r w:rsidRPr="002B3BFB">
              <w:rPr>
                <w:rFonts w:cs="Arial"/>
                <w:szCs w:val="20"/>
              </w:rPr>
              <w:t>No</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proofErr w:type="spellStart"/>
            <w:r w:rsidR="009D10A4" w:rsidRPr="00500C4E">
              <w:rPr>
                <w:rFonts w:cs="Arial"/>
                <w:szCs w:val="20"/>
              </w:rPr>
              <w:t>eQUEST</w:t>
            </w:r>
            <w:proofErr w:type="spellEnd"/>
            <w:r w:rsidR="009D10A4" w:rsidRPr="00500C4E">
              <w:rPr>
                <w:rFonts w:cs="Arial"/>
                <w:szCs w:val="20"/>
              </w:rPr>
              <w:t xml:space="preserve"> P</w:t>
            </w:r>
            <w:r w:rsidRPr="00920905">
              <w:rPr>
                <w:rFonts w:cs="Arial"/>
                <w:szCs w:val="20"/>
              </w:rPr>
              <w:t>rototype</w:t>
            </w:r>
            <w:r w:rsidR="009D10A4" w:rsidRPr="00500C4E">
              <w:rPr>
                <w:rFonts w:cs="Arial"/>
                <w:szCs w:val="20"/>
              </w:rPr>
              <w:t>s</w:t>
            </w:r>
          </w:p>
        </w:tc>
        <w:tc>
          <w:tcPr>
            <w:tcW w:w="3452" w:type="pct"/>
          </w:tcPr>
          <w:p w14:paraId="4D0FA036" w14:textId="044D77B6" w:rsidR="00505CEC" w:rsidRPr="002B3BFB" w:rsidDel="00505CEC" w:rsidRDefault="004C02CD" w:rsidP="00920905">
            <w:pPr>
              <w:rPr>
                <w:rFonts w:cs="Arial"/>
                <w:szCs w:val="20"/>
              </w:rPr>
            </w:pPr>
            <w:r>
              <w:rPr>
                <w:rFonts w:cs="Arial"/>
                <w:szCs w:val="20"/>
              </w:rPr>
              <w:t>Yes</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1A72CE6E" w:rsidR="00D86A9D" w:rsidRPr="002B3BFB" w:rsidRDefault="00092386" w:rsidP="00175D14">
            <w:pPr>
              <w:rPr>
                <w:rFonts w:cs="Arial"/>
                <w:szCs w:val="20"/>
              </w:rPr>
            </w:pPr>
            <w:r w:rsidRPr="002B3BFB">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t>Reason for Deviation from DEER</w:t>
            </w:r>
          </w:p>
        </w:tc>
        <w:tc>
          <w:tcPr>
            <w:tcW w:w="3452" w:type="pct"/>
          </w:tcPr>
          <w:p w14:paraId="6F852B8E" w14:textId="0DB1435F" w:rsidR="00E326BA" w:rsidRPr="002B3BFB" w:rsidRDefault="00E326BA" w:rsidP="00920905">
            <w:pPr>
              <w:rPr>
                <w:rFonts w:cs="Arial"/>
                <w:szCs w:val="20"/>
              </w:rPr>
            </w:pPr>
            <w:r w:rsidRPr="002B3BFB">
              <w:rPr>
                <w:rFonts w:cs="Arial"/>
                <w:szCs w:val="20"/>
              </w:rPr>
              <w:t>DEER does not contain this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3D180002" w:rsidR="00E326BA" w:rsidRPr="002B3BFB" w:rsidRDefault="002B3BFB" w:rsidP="00920905">
            <w:pPr>
              <w:rPr>
                <w:rFonts w:cs="Arial"/>
                <w:szCs w:val="20"/>
              </w:rPr>
            </w:pPr>
            <w:r w:rsidRPr="002B3BFB">
              <w:rPr>
                <w:rFonts w:cs="Arial"/>
                <w:szCs w:val="20"/>
              </w:rPr>
              <w:t>N/A</w:t>
            </w:r>
          </w:p>
        </w:tc>
      </w:tr>
    </w:tbl>
    <w:p w14:paraId="23B2FFA6" w14:textId="77777777" w:rsidR="00472250" w:rsidRPr="002B3BFB" w:rsidRDefault="00472250" w:rsidP="00920905">
      <w:pPr>
        <w:pStyle w:val="Caption"/>
        <w:keepNext/>
        <w:rPr>
          <w:rFonts w:cstheme="minorHAnsi"/>
          <w:b w:val="0"/>
          <w:szCs w:val="22"/>
        </w:rPr>
      </w:pPr>
    </w:p>
    <w:p w14:paraId="250646D1" w14:textId="77777777" w:rsidR="00472250" w:rsidRPr="00500C4E" w:rsidRDefault="00472250" w:rsidP="00472250">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Net-to-Gross Ratio</w:t>
      </w:r>
    </w:p>
    <w:p w14:paraId="00C43CEE" w14:textId="1B0B92AC"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77357801" w14:textId="77777777" w:rsidR="00BD1085" w:rsidRDefault="00BD1085" w:rsidP="00920905">
      <w:pPr>
        <w:pStyle w:val="NoSpacing"/>
      </w:pPr>
    </w:p>
    <w:p w14:paraId="5949B1AD" w14:textId="018421C7" w:rsidR="00BD1085" w:rsidRPr="00BD1085" w:rsidRDefault="00BD1085" w:rsidP="00920905">
      <w:pPr>
        <w:pStyle w:val="NoSpacing"/>
        <w:rPr>
          <w:b/>
        </w:rPr>
      </w:pPr>
      <w:r w:rsidRPr="00BD1085">
        <w:rPr>
          <w:b/>
        </w:rPr>
        <w:t>Net-to-Gross Ratio</w:t>
      </w: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920905">
        <w:tc>
          <w:tcPr>
            <w:tcW w:w="673" w:type="pct"/>
            <w:shd w:val="clear" w:color="auto" w:fill="D9D9D9" w:themeFill="background1" w:themeFillShade="D9"/>
          </w:tcPr>
          <w:p w14:paraId="036218EF" w14:textId="6670DE77" w:rsidR="000968C6" w:rsidRPr="00920905" w:rsidRDefault="005729C8" w:rsidP="005729C8">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5729C8">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915" w:type="pct"/>
            <w:shd w:val="clear" w:color="auto" w:fill="D9D9D9" w:themeFill="background1" w:themeFillShade="D9"/>
          </w:tcPr>
          <w:p w14:paraId="500E206E" w14:textId="40BF7372" w:rsidR="000968C6" w:rsidRPr="00920905" w:rsidRDefault="00E06A37">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5729C8">
            <w:pPr>
              <w:rPr>
                <w:rFonts w:cstheme="minorHAnsi"/>
                <w:b/>
                <w:szCs w:val="20"/>
              </w:rPr>
            </w:pPr>
            <w:r w:rsidRPr="00920905">
              <w:rPr>
                <w:rFonts w:cstheme="minorHAnsi"/>
                <w:b/>
                <w:szCs w:val="20"/>
              </w:rPr>
              <w:t>NTG</w:t>
            </w:r>
            <w:r w:rsidR="00E06A37">
              <w:rPr>
                <w:rFonts w:cstheme="minorHAnsi"/>
                <w:b/>
                <w:szCs w:val="20"/>
              </w:rPr>
              <w:t>R</w:t>
            </w:r>
          </w:p>
        </w:tc>
      </w:tr>
      <w:tr w:rsidR="005F69D5" w:rsidRPr="00500C4E" w14:paraId="4A5E1950" w14:textId="77777777" w:rsidTr="00920905">
        <w:tc>
          <w:tcPr>
            <w:tcW w:w="673" w:type="pct"/>
          </w:tcPr>
          <w:p w14:paraId="00952921" w14:textId="4ECD6F19" w:rsidR="00907697" w:rsidRPr="00894AD2" w:rsidRDefault="007A68B0" w:rsidP="005729C8">
            <w:pPr>
              <w:rPr>
                <w:szCs w:val="20"/>
              </w:rPr>
            </w:pPr>
            <w:r>
              <w:rPr>
                <w:szCs w:val="20"/>
              </w:rPr>
              <w:t>K-12School-ComCollege</w:t>
            </w:r>
          </w:p>
        </w:tc>
        <w:tc>
          <w:tcPr>
            <w:tcW w:w="2019" w:type="pct"/>
          </w:tcPr>
          <w:p w14:paraId="755799BF" w14:textId="77777777" w:rsidR="00907697" w:rsidRPr="00894AD2" w:rsidRDefault="00907697" w:rsidP="005729C8">
            <w:pPr>
              <w:rPr>
                <w:szCs w:val="20"/>
              </w:rPr>
            </w:pPr>
            <w:r w:rsidRPr="00894AD2">
              <w:rPr>
                <w:szCs w:val="20"/>
              </w:rPr>
              <w:t>All other EEMs with no evaluated NTGR; existing EEM in programs with same delivery mechanism for more than 2 years</w:t>
            </w:r>
          </w:p>
        </w:tc>
        <w:tc>
          <w:tcPr>
            <w:tcW w:w="434" w:type="pct"/>
          </w:tcPr>
          <w:p w14:paraId="3CB22E86" w14:textId="77777777" w:rsidR="00907697" w:rsidRPr="00894AD2" w:rsidRDefault="00907697" w:rsidP="005729C8">
            <w:pPr>
              <w:rPr>
                <w:szCs w:val="20"/>
              </w:rPr>
            </w:pPr>
            <w:r w:rsidRPr="00894AD2">
              <w:rPr>
                <w:szCs w:val="20"/>
              </w:rPr>
              <w:t>Com</w:t>
            </w:r>
          </w:p>
        </w:tc>
        <w:tc>
          <w:tcPr>
            <w:tcW w:w="529" w:type="pct"/>
          </w:tcPr>
          <w:p w14:paraId="1AAF8C8B" w14:textId="77777777" w:rsidR="00907697" w:rsidRPr="00894AD2" w:rsidRDefault="00907697" w:rsidP="005729C8">
            <w:pPr>
              <w:rPr>
                <w:szCs w:val="20"/>
              </w:rPr>
            </w:pPr>
            <w:r w:rsidRPr="00894AD2">
              <w:rPr>
                <w:szCs w:val="20"/>
              </w:rPr>
              <w:t>Any</w:t>
            </w:r>
          </w:p>
        </w:tc>
        <w:tc>
          <w:tcPr>
            <w:tcW w:w="915" w:type="pct"/>
          </w:tcPr>
          <w:p w14:paraId="5BAF7D5F" w14:textId="77777777" w:rsidR="00907697" w:rsidRPr="00894AD2" w:rsidRDefault="00907697" w:rsidP="005729C8">
            <w:pPr>
              <w:rPr>
                <w:szCs w:val="20"/>
              </w:rPr>
            </w:pPr>
            <w:r w:rsidRPr="00894AD2">
              <w:rPr>
                <w:szCs w:val="20"/>
              </w:rPr>
              <w:t>Any</w:t>
            </w:r>
          </w:p>
        </w:tc>
        <w:tc>
          <w:tcPr>
            <w:tcW w:w="430" w:type="pct"/>
          </w:tcPr>
          <w:p w14:paraId="76698D49" w14:textId="3A2BE8C6" w:rsidR="00907697" w:rsidRPr="00894AD2" w:rsidRDefault="00907697" w:rsidP="005729C8">
            <w:pPr>
              <w:rPr>
                <w:szCs w:val="20"/>
              </w:rPr>
            </w:pPr>
            <w:r w:rsidRPr="00894AD2">
              <w:rPr>
                <w:szCs w:val="20"/>
              </w:rPr>
              <w:t>0.</w:t>
            </w:r>
            <w:r w:rsidR="007A68B0">
              <w:rPr>
                <w:szCs w:val="20"/>
              </w:rPr>
              <w:t>85</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4E4EF466" w14:textId="77777777" w:rsidR="00BD1085" w:rsidRDefault="00BD1085" w:rsidP="00920905">
      <w:pPr>
        <w:pStyle w:val="NoSpacing"/>
      </w:pPr>
    </w:p>
    <w:p w14:paraId="4602C399" w14:textId="451081A5" w:rsidR="00BD1085" w:rsidRPr="00BD1085" w:rsidRDefault="00BD1085" w:rsidP="00920905">
      <w:pPr>
        <w:pStyle w:val="NoSpacing"/>
        <w:rPr>
          <w:b/>
        </w:rPr>
      </w:pPr>
      <w:r w:rsidRPr="00BD1085">
        <w:rPr>
          <w:b/>
        </w:rPr>
        <w:lastRenderedPageBreak/>
        <w:t>Gross Savings and Installation Adjustment</w:t>
      </w: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920905">
        <w:tc>
          <w:tcPr>
            <w:tcW w:w="722" w:type="pct"/>
            <w:shd w:val="clear" w:color="auto" w:fill="D9D9D9" w:themeFill="background1" w:themeFillShade="D9"/>
          </w:tcPr>
          <w:p w14:paraId="75105F70" w14:textId="77777777" w:rsidR="006B4A48" w:rsidRPr="00920905" w:rsidRDefault="00BA2E7E" w:rsidP="005729C8">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5729C8">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5729C8">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5729C8">
            <w:pPr>
              <w:rPr>
                <w:rFonts w:cstheme="minorHAnsi"/>
                <w:b/>
                <w:szCs w:val="20"/>
              </w:rPr>
            </w:pPr>
            <w:proofErr w:type="spellStart"/>
            <w:r w:rsidRPr="00920905">
              <w:rPr>
                <w:rFonts w:cstheme="minorHAnsi"/>
                <w:b/>
                <w:szCs w:val="20"/>
              </w:rPr>
              <w:t>BldgType</w:t>
            </w:r>
            <w:proofErr w:type="spellEnd"/>
          </w:p>
        </w:tc>
        <w:tc>
          <w:tcPr>
            <w:tcW w:w="693" w:type="pct"/>
            <w:shd w:val="clear" w:color="auto" w:fill="D9D9D9" w:themeFill="background1" w:themeFillShade="D9"/>
          </w:tcPr>
          <w:p w14:paraId="47328018" w14:textId="77777777" w:rsidR="006B4A48" w:rsidRPr="00920905" w:rsidRDefault="006B4A48" w:rsidP="005729C8">
            <w:pPr>
              <w:rPr>
                <w:rFonts w:cstheme="minorHAnsi"/>
                <w:b/>
                <w:szCs w:val="20"/>
              </w:rPr>
            </w:pPr>
            <w:proofErr w:type="spellStart"/>
            <w:r w:rsidRPr="00920905">
              <w:rPr>
                <w:rFonts w:cstheme="minorHAnsi"/>
                <w:b/>
                <w:szCs w:val="20"/>
              </w:rPr>
              <w:t>ProgDelivID</w:t>
            </w:r>
            <w:proofErr w:type="spellEnd"/>
          </w:p>
        </w:tc>
        <w:tc>
          <w:tcPr>
            <w:tcW w:w="634" w:type="pct"/>
            <w:shd w:val="clear" w:color="auto" w:fill="D9D9D9" w:themeFill="background1" w:themeFillShade="D9"/>
          </w:tcPr>
          <w:p w14:paraId="77690643" w14:textId="77777777" w:rsidR="006B4A48" w:rsidRPr="00920905" w:rsidRDefault="00FB2590" w:rsidP="005729C8">
            <w:pPr>
              <w:rPr>
                <w:rFonts w:cstheme="minorHAnsi"/>
                <w:b/>
                <w:szCs w:val="20"/>
              </w:rPr>
            </w:pPr>
            <w:proofErr w:type="spellStart"/>
            <w:r w:rsidRPr="00920905">
              <w:rPr>
                <w:rFonts w:cstheme="minorHAnsi"/>
                <w:b/>
                <w:szCs w:val="20"/>
              </w:rPr>
              <w:t>GSIAValue</w:t>
            </w:r>
            <w:proofErr w:type="spellEnd"/>
          </w:p>
        </w:tc>
      </w:tr>
      <w:tr w:rsidR="002F4E34" w:rsidRPr="00500C4E" w14:paraId="3AEFCD58" w14:textId="77777777" w:rsidTr="00920905">
        <w:tc>
          <w:tcPr>
            <w:tcW w:w="722" w:type="pct"/>
          </w:tcPr>
          <w:p w14:paraId="20565B79" w14:textId="77777777" w:rsidR="002F4E34" w:rsidRPr="00E8010E" w:rsidRDefault="002F4E34" w:rsidP="005729C8">
            <w:pPr>
              <w:rPr>
                <w:szCs w:val="20"/>
              </w:rPr>
            </w:pPr>
            <w:r w:rsidRPr="00E8010E">
              <w:rPr>
                <w:szCs w:val="20"/>
              </w:rPr>
              <w:t>Def-GSIA</w:t>
            </w:r>
          </w:p>
        </w:tc>
        <w:tc>
          <w:tcPr>
            <w:tcW w:w="1404" w:type="pct"/>
          </w:tcPr>
          <w:p w14:paraId="2BFFF598" w14:textId="77777777" w:rsidR="002F4E34" w:rsidRPr="00E8010E" w:rsidRDefault="002F4E34" w:rsidP="005729C8">
            <w:pPr>
              <w:rPr>
                <w:szCs w:val="20"/>
              </w:rPr>
            </w:pPr>
            <w:r w:rsidRPr="00E8010E">
              <w:rPr>
                <w:szCs w:val="20"/>
              </w:rPr>
              <w:t>Default GSIA values</w:t>
            </w:r>
          </w:p>
        </w:tc>
        <w:tc>
          <w:tcPr>
            <w:tcW w:w="688" w:type="pct"/>
          </w:tcPr>
          <w:p w14:paraId="157D8A62" w14:textId="77777777" w:rsidR="002F4E34" w:rsidRPr="00E8010E" w:rsidRDefault="002F4E34" w:rsidP="005729C8">
            <w:pPr>
              <w:rPr>
                <w:szCs w:val="20"/>
              </w:rPr>
            </w:pPr>
            <w:r w:rsidRPr="00E8010E">
              <w:rPr>
                <w:szCs w:val="20"/>
              </w:rPr>
              <w:t>Any</w:t>
            </w:r>
          </w:p>
        </w:tc>
        <w:tc>
          <w:tcPr>
            <w:tcW w:w="858" w:type="pct"/>
          </w:tcPr>
          <w:p w14:paraId="0C3293FE" w14:textId="77777777" w:rsidR="002F4E34" w:rsidRPr="00E8010E" w:rsidRDefault="002F4E34" w:rsidP="005729C8">
            <w:pPr>
              <w:rPr>
                <w:szCs w:val="20"/>
              </w:rPr>
            </w:pPr>
            <w:r w:rsidRPr="00E8010E">
              <w:rPr>
                <w:szCs w:val="20"/>
              </w:rPr>
              <w:t>Any</w:t>
            </w:r>
          </w:p>
        </w:tc>
        <w:tc>
          <w:tcPr>
            <w:tcW w:w="693" w:type="pct"/>
          </w:tcPr>
          <w:p w14:paraId="0B642835" w14:textId="77777777" w:rsidR="002F4E34" w:rsidRPr="00E8010E" w:rsidRDefault="002F4E34" w:rsidP="005729C8">
            <w:pPr>
              <w:rPr>
                <w:szCs w:val="20"/>
              </w:rPr>
            </w:pPr>
            <w:r w:rsidRPr="00E8010E">
              <w:rPr>
                <w:szCs w:val="20"/>
              </w:rPr>
              <w:t>Any</w:t>
            </w:r>
          </w:p>
        </w:tc>
        <w:tc>
          <w:tcPr>
            <w:tcW w:w="634" w:type="pct"/>
          </w:tcPr>
          <w:p w14:paraId="1C671DD2" w14:textId="77777777" w:rsidR="002F4E34" w:rsidRPr="00E8010E" w:rsidRDefault="002F4E34" w:rsidP="005729C8">
            <w:pPr>
              <w:rPr>
                <w:szCs w:val="20"/>
              </w:rPr>
            </w:pPr>
            <w:r w:rsidRPr="00E8010E">
              <w:rPr>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3BB4853E" w14:textId="1096F3CF" w:rsidR="008B1357" w:rsidRDefault="006A6D15" w:rsidP="00920905">
      <w:pPr>
        <w:pStyle w:val="NoSpacing"/>
      </w:pPr>
      <w:r w:rsidRPr="0087393E">
        <w:t xml:space="preserve">The EUL and RUL values were obtained </w:t>
      </w:r>
      <w:r w:rsidR="00BC6524" w:rsidRPr="0087393E">
        <w:t>using the DEER READI tool</w:t>
      </w:r>
      <w:r w:rsidRPr="0087393E">
        <w:t>. DEER defines the RUL as 1/3 of the EUL value. The RUL value is only applicable to the first baseline period for an RET measure with an applicable code baseline. The relevant EUL and RUL values for the measures in this work paper are in the table below.</w:t>
      </w:r>
    </w:p>
    <w:p w14:paraId="66A3A63A" w14:textId="77777777" w:rsidR="00BD1085" w:rsidRDefault="00BD1085" w:rsidP="00920905">
      <w:pPr>
        <w:pStyle w:val="NoSpacing"/>
      </w:pPr>
    </w:p>
    <w:p w14:paraId="2F2CDA56" w14:textId="254A732E" w:rsidR="00BD1085" w:rsidRPr="00BD1085" w:rsidRDefault="00BD1085" w:rsidP="00920905">
      <w:pPr>
        <w:pStyle w:val="NoSpacing"/>
        <w:rPr>
          <w:b/>
        </w:rPr>
      </w:pPr>
      <w:r w:rsidRPr="00BD1085">
        <w:rPr>
          <w:b/>
        </w:rPr>
        <w:t>Effective and Remaining Useful Life</w:t>
      </w:r>
    </w:p>
    <w:tbl>
      <w:tblPr>
        <w:tblStyle w:val="TableGrid1"/>
        <w:tblW w:w="5000" w:type="pct"/>
        <w:tblLook w:val="04A0" w:firstRow="1" w:lastRow="0" w:firstColumn="1" w:lastColumn="0" w:noHBand="0" w:noVBand="1"/>
      </w:tblPr>
      <w:tblGrid>
        <w:gridCol w:w="1540"/>
        <w:gridCol w:w="2684"/>
        <w:gridCol w:w="885"/>
        <w:gridCol w:w="1270"/>
        <w:gridCol w:w="1519"/>
        <w:gridCol w:w="1452"/>
      </w:tblGrid>
      <w:tr w:rsidR="008B1357" w:rsidRPr="00500C4E" w14:paraId="5A9EC2BE" w14:textId="77777777" w:rsidTr="00920905">
        <w:tc>
          <w:tcPr>
            <w:tcW w:w="824" w:type="pct"/>
            <w:shd w:val="clear" w:color="auto" w:fill="D9D9D9" w:themeFill="background1" w:themeFillShade="D9"/>
          </w:tcPr>
          <w:p w14:paraId="17686FBF" w14:textId="77777777" w:rsidR="008B1357" w:rsidRPr="00920905" w:rsidRDefault="008B1357" w:rsidP="00BA2E7E">
            <w:pPr>
              <w:rPr>
                <w:rFonts w:cstheme="minorHAnsi"/>
                <w:b/>
                <w:szCs w:val="20"/>
              </w:rPr>
            </w:pPr>
            <w:r w:rsidRPr="00920905">
              <w:rPr>
                <w:rFonts w:cstheme="minorHAnsi"/>
                <w:b/>
                <w:szCs w:val="20"/>
              </w:rPr>
              <w:t>EUL ID</w:t>
            </w:r>
          </w:p>
        </w:tc>
        <w:tc>
          <w:tcPr>
            <w:tcW w:w="1436" w:type="pct"/>
            <w:shd w:val="clear" w:color="auto" w:fill="D9D9D9" w:themeFill="background1" w:themeFillShade="D9"/>
          </w:tcPr>
          <w:p w14:paraId="1C93AC29" w14:textId="77777777" w:rsidR="008B1357" w:rsidRPr="00920905" w:rsidRDefault="008B1357" w:rsidP="00BA2E7E">
            <w:pPr>
              <w:rPr>
                <w:rFonts w:cstheme="minorHAnsi"/>
                <w:b/>
                <w:szCs w:val="20"/>
              </w:rPr>
            </w:pPr>
            <w:r w:rsidRPr="00920905">
              <w:rPr>
                <w:rFonts w:cstheme="minorHAnsi"/>
                <w:b/>
                <w:szCs w:val="20"/>
              </w:rPr>
              <w:t>Description</w:t>
            </w:r>
          </w:p>
        </w:tc>
        <w:tc>
          <w:tcPr>
            <w:tcW w:w="474" w:type="pct"/>
            <w:shd w:val="clear" w:color="auto" w:fill="D9D9D9" w:themeFill="background1" w:themeFillShade="D9"/>
          </w:tcPr>
          <w:p w14:paraId="68405617" w14:textId="77777777" w:rsidR="008B1357" w:rsidRPr="00920905" w:rsidRDefault="008B1357" w:rsidP="00BA2E7E">
            <w:pPr>
              <w:rPr>
                <w:rFonts w:cstheme="minorHAnsi"/>
                <w:b/>
                <w:szCs w:val="20"/>
              </w:rPr>
            </w:pPr>
            <w:r w:rsidRPr="00920905">
              <w:rPr>
                <w:rFonts w:cstheme="minorHAnsi"/>
                <w:b/>
                <w:szCs w:val="20"/>
              </w:rPr>
              <w:t>Sector</w:t>
            </w:r>
          </w:p>
        </w:tc>
        <w:tc>
          <w:tcPr>
            <w:tcW w:w="676" w:type="pct"/>
            <w:shd w:val="clear" w:color="auto" w:fill="D9D9D9" w:themeFill="background1" w:themeFillShade="D9"/>
          </w:tcPr>
          <w:p w14:paraId="0733AF36" w14:textId="77777777" w:rsidR="008B1357" w:rsidRPr="00920905" w:rsidRDefault="00BA2E7E" w:rsidP="00BA2E7E">
            <w:pPr>
              <w:rPr>
                <w:rFonts w:cstheme="minorHAnsi"/>
                <w:b/>
                <w:szCs w:val="20"/>
              </w:rPr>
            </w:pPr>
            <w:proofErr w:type="spellStart"/>
            <w:r w:rsidRPr="00920905">
              <w:rPr>
                <w:rFonts w:cstheme="minorHAnsi"/>
                <w:b/>
                <w:szCs w:val="20"/>
              </w:rPr>
              <w:t>UseCategory</w:t>
            </w:r>
            <w:proofErr w:type="spellEnd"/>
          </w:p>
        </w:tc>
        <w:tc>
          <w:tcPr>
            <w:tcW w:w="813" w:type="pct"/>
            <w:shd w:val="clear" w:color="auto" w:fill="D9D9D9" w:themeFill="background1" w:themeFillShade="D9"/>
          </w:tcPr>
          <w:p w14:paraId="64D571F2" w14:textId="77777777" w:rsidR="008B1357" w:rsidRPr="00920905" w:rsidRDefault="008B1357" w:rsidP="00BA2E7E">
            <w:pPr>
              <w:rPr>
                <w:rFonts w:cstheme="minorHAnsi"/>
                <w:b/>
                <w:szCs w:val="20"/>
              </w:rPr>
            </w:pPr>
            <w:r w:rsidRPr="00920905">
              <w:rPr>
                <w:rFonts w:cstheme="minorHAnsi"/>
                <w:b/>
                <w:szCs w:val="20"/>
              </w:rPr>
              <w:t>EUL (Years)</w:t>
            </w:r>
          </w:p>
        </w:tc>
        <w:tc>
          <w:tcPr>
            <w:tcW w:w="777" w:type="pct"/>
            <w:shd w:val="clear" w:color="auto" w:fill="D9D9D9" w:themeFill="background1" w:themeFillShade="D9"/>
          </w:tcPr>
          <w:p w14:paraId="6B814E1E" w14:textId="77777777" w:rsidR="008B1357" w:rsidRPr="00920905" w:rsidRDefault="008B1357" w:rsidP="00BA2E7E">
            <w:pPr>
              <w:rPr>
                <w:rFonts w:cstheme="minorHAnsi"/>
                <w:b/>
                <w:szCs w:val="20"/>
              </w:rPr>
            </w:pPr>
            <w:r w:rsidRPr="00920905">
              <w:rPr>
                <w:rFonts w:cstheme="minorHAnsi"/>
                <w:b/>
                <w:szCs w:val="20"/>
              </w:rPr>
              <w:t>RUL (Years)</w:t>
            </w:r>
          </w:p>
        </w:tc>
      </w:tr>
      <w:tr w:rsidR="00BA2E7E" w:rsidRPr="00500C4E" w14:paraId="23E3B0B0" w14:textId="77777777" w:rsidTr="00920905">
        <w:trPr>
          <w:trHeight w:val="243"/>
        </w:trPr>
        <w:tc>
          <w:tcPr>
            <w:tcW w:w="824" w:type="pct"/>
          </w:tcPr>
          <w:p w14:paraId="17A1D7F4" w14:textId="418DD3D7" w:rsidR="00BA2E7E" w:rsidRPr="00E8010E" w:rsidRDefault="00E8010E" w:rsidP="00BA2E7E">
            <w:pPr>
              <w:rPr>
                <w:szCs w:val="20"/>
              </w:rPr>
            </w:pPr>
            <w:r w:rsidRPr="00E8010E">
              <w:rPr>
                <w:szCs w:val="20"/>
              </w:rPr>
              <w:t>HVAC-</w:t>
            </w:r>
            <w:proofErr w:type="spellStart"/>
            <w:r w:rsidR="006E7F55">
              <w:rPr>
                <w:szCs w:val="20"/>
              </w:rPr>
              <w:t>ProgTStats</w:t>
            </w:r>
            <w:proofErr w:type="spellEnd"/>
          </w:p>
        </w:tc>
        <w:tc>
          <w:tcPr>
            <w:tcW w:w="1436" w:type="pct"/>
          </w:tcPr>
          <w:p w14:paraId="36E678D1" w14:textId="7904A5C2" w:rsidR="00BA2E7E" w:rsidRPr="00E8010E" w:rsidRDefault="00B504D6" w:rsidP="00BA2E7E">
            <w:pPr>
              <w:rPr>
                <w:szCs w:val="20"/>
              </w:rPr>
            </w:pPr>
            <w:r>
              <w:rPr>
                <w:szCs w:val="20"/>
              </w:rPr>
              <w:t>Setback Programmable Thermostats</w:t>
            </w:r>
          </w:p>
        </w:tc>
        <w:tc>
          <w:tcPr>
            <w:tcW w:w="474" w:type="pct"/>
          </w:tcPr>
          <w:p w14:paraId="42B5C736" w14:textId="77777777" w:rsidR="00BA2E7E" w:rsidRPr="00E8010E" w:rsidRDefault="00BA2E7E" w:rsidP="00BA2E7E">
            <w:pPr>
              <w:rPr>
                <w:szCs w:val="20"/>
              </w:rPr>
            </w:pPr>
            <w:r w:rsidRPr="00E8010E">
              <w:rPr>
                <w:szCs w:val="20"/>
              </w:rPr>
              <w:t>Com</w:t>
            </w:r>
          </w:p>
        </w:tc>
        <w:tc>
          <w:tcPr>
            <w:tcW w:w="676" w:type="pct"/>
          </w:tcPr>
          <w:p w14:paraId="52A841ED" w14:textId="77777777" w:rsidR="00BA2E7E" w:rsidRPr="00E8010E" w:rsidRDefault="00BA2E7E" w:rsidP="00BA2E7E">
            <w:pPr>
              <w:rPr>
                <w:szCs w:val="20"/>
              </w:rPr>
            </w:pPr>
            <w:r w:rsidRPr="00E8010E">
              <w:rPr>
                <w:szCs w:val="20"/>
              </w:rPr>
              <w:t>HVAC</w:t>
            </w:r>
          </w:p>
        </w:tc>
        <w:tc>
          <w:tcPr>
            <w:tcW w:w="813" w:type="pct"/>
          </w:tcPr>
          <w:p w14:paraId="1BF5FCBD" w14:textId="7BDD6F08" w:rsidR="00BA2E7E" w:rsidRPr="00E8010E" w:rsidRDefault="00E8010E" w:rsidP="00BA2E7E">
            <w:pPr>
              <w:rPr>
                <w:szCs w:val="20"/>
              </w:rPr>
            </w:pPr>
            <w:r w:rsidRPr="00E8010E">
              <w:rPr>
                <w:szCs w:val="20"/>
              </w:rPr>
              <w:t>11</w:t>
            </w:r>
          </w:p>
        </w:tc>
        <w:tc>
          <w:tcPr>
            <w:tcW w:w="777" w:type="pct"/>
          </w:tcPr>
          <w:p w14:paraId="46ED97C1" w14:textId="42580EB2" w:rsidR="00BA2E7E" w:rsidRPr="00E8010E" w:rsidRDefault="006E7F55" w:rsidP="00BA2E7E">
            <w:pPr>
              <w:rPr>
                <w:szCs w:val="20"/>
              </w:rPr>
            </w:pPr>
            <w:r>
              <w:rPr>
                <w:szCs w:val="20"/>
              </w:rPr>
              <w:t>N/A</w:t>
            </w:r>
          </w:p>
        </w:tc>
      </w:tr>
    </w:tbl>
    <w:p w14:paraId="70FE2727" w14:textId="77777777" w:rsidR="00E16609" w:rsidRPr="00500C4E" w:rsidRDefault="00F06CCF" w:rsidP="00F06CCF">
      <w:pPr>
        <w:pStyle w:val="Heading3"/>
        <w:rPr>
          <w:rFonts w:asciiTheme="minorHAnsi" w:hAnsiTheme="minorHAnsi"/>
        </w:rPr>
      </w:pPr>
      <w:r w:rsidRPr="00500C4E">
        <w:rPr>
          <w:rFonts w:asciiTheme="minorHAnsi" w:hAnsiTheme="minorHAnsi"/>
        </w:rPr>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0"/>
    </w:p>
    <w:p w14:paraId="4B78AC54" w14:textId="21BC1816" w:rsidR="006128D9" w:rsidRDefault="006128D9" w:rsidP="006128D9">
      <w:pPr>
        <w:rPr>
          <w:rFonts w:cstheme="minorHAnsi"/>
        </w:rPr>
      </w:pPr>
      <w:r>
        <w:rPr>
          <w:rFonts w:cstheme="minorHAnsi"/>
        </w:rPr>
        <w:t>Chapter</w:t>
      </w:r>
      <w:r w:rsidRPr="00C80095">
        <w:rPr>
          <w:rFonts w:cstheme="minorHAnsi"/>
        </w:rPr>
        <w:t xml:space="preserve"> 4.</w:t>
      </w:r>
      <w:r>
        <w:rPr>
          <w:rFonts w:cstheme="minorHAnsi"/>
        </w:rPr>
        <w:t xml:space="preserve">5.1.1 </w:t>
      </w:r>
      <w:r w:rsidRPr="00C80095">
        <w:rPr>
          <w:rFonts w:cstheme="minorHAnsi"/>
        </w:rPr>
        <w:t>of California’s Title 24 201</w:t>
      </w:r>
      <w:r>
        <w:rPr>
          <w:rFonts w:cstheme="minorHAnsi"/>
        </w:rPr>
        <w:t>6</w:t>
      </w:r>
      <w:r w:rsidRPr="00C80095">
        <w:rPr>
          <w:rFonts w:cstheme="minorHAnsi"/>
        </w:rPr>
        <w:t xml:space="preserve"> Non-Residential Compliance </w:t>
      </w:r>
      <w:r w:rsidRPr="00C240DD">
        <w:rPr>
          <w:rFonts w:cstheme="minorHAnsi"/>
        </w:rPr>
        <w:t>Manual</w:t>
      </w:r>
      <w:r>
        <w:rPr>
          <w:rFonts w:cstheme="minorHAnsi"/>
        </w:rPr>
        <w:t xml:space="preserve"> [498] requires that </w:t>
      </w:r>
      <w:r w:rsidRPr="00C80095">
        <w:rPr>
          <w:rFonts w:cstheme="minorHAnsi"/>
        </w:rPr>
        <w:t xml:space="preserve">zone thermostatic controls must be provided for each space-conditioning zone to control the supply of heating and cooling energy within that zone.  The </w:t>
      </w:r>
      <w:proofErr w:type="spellStart"/>
      <w:r w:rsidRPr="00C80095">
        <w:rPr>
          <w:rFonts w:cstheme="minorHAnsi"/>
        </w:rPr>
        <w:t>setpoint</w:t>
      </w:r>
      <w:proofErr w:type="spellEnd"/>
      <w:r w:rsidRPr="00C80095">
        <w:rPr>
          <w:rFonts w:cstheme="minorHAnsi"/>
        </w:rPr>
        <w:t xml:space="preserve"> may be adjustable either locally or remotely, by continuous adjustment or by selection of sensors.  </w:t>
      </w:r>
    </w:p>
    <w:p w14:paraId="6F77F4E5" w14:textId="77777777" w:rsidR="006128D9" w:rsidRDefault="006128D9" w:rsidP="006128D9">
      <w:pPr>
        <w:rPr>
          <w:rFonts w:cstheme="minorHAnsi"/>
        </w:rPr>
      </w:pPr>
    </w:p>
    <w:p w14:paraId="67FAE1FC" w14:textId="47F4CF39" w:rsidR="006128D9" w:rsidRDefault="006128D9" w:rsidP="006128D9">
      <w:pPr>
        <w:rPr>
          <w:rFonts w:cstheme="minorHAnsi"/>
        </w:rPr>
      </w:pPr>
      <w:r>
        <w:rPr>
          <w:rFonts w:cstheme="minorHAnsi"/>
        </w:rPr>
        <w:lastRenderedPageBreak/>
        <w:t>4.5.1.4 Section A requires that e</w:t>
      </w:r>
      <w:r w:rsidRPr="00C80095">
        <w:rPr>
          <w:rFonts w:cstheme="minorHAnsi"/>
        </w:rPr>
        <w:t xml:space="preserve">ach space-conditioning system must be provided with controls that </w:t>
      </w:r>
      <w:r w:rsidRPr="00A86E26">
        <w:rPr>
          <w:rFonts w:cstheme="minorHAnsi"/>
          <w:u w:val="single"/>
        </w:rPr>
        <w:t>can</w:t>
      </w:r>
      <w:r w:rsidRPr="00C80095">
        <w:rPr>
          <w:rFonts w:cstheme="minorHAnsi"/>
        </w:rPr>
        <w:t xml:space="preserve"> automatically turn</w:t>
      </w:r>
      <w:r w:rsidR="00D823DE">
        <w:rPr>
          <w:rFonts w:cstheme="minorHAnsi"/>
        </w:rPr>
        <w:t>-</w:t>
      </w:r>
      <w:r w:rsidRPr="00C80095">
        <w:rPr>
          <w:rFonts w:cstheme="minorHAnsi"/>
        </w:rPr>
        <w:t xml:space="preserve">off the equipment during unoccupied hours.  The control device can be an automatic time switch, manual override abilities, an occupancy sensor, etc.  </w:t>
      </w:r>
    </w:p>
    <w:p w14:paraId="1EBC76DC" w14:textId="77777777" w:rsidR="006128D9" w:rsidRDefault="006128D9" w:rsidP="006128D9">
      <w:pPr>
        <w:rPr>
          <w:rFonts w:cstheme="minorHAnsi"/>
        </w:rPr>
      </w:pPr>
    </w:p>
    <w:p w14:paraId="3F28A87E" w14:textId="77777777" w:rsidR="006128D9" w:rsidRPr="0014625B" w:rsidRDefault="006128D9" w:rsidP="006128D9">
      <w:pPr>
        <w:autoSpaceDE w:val="0"/>
        <w:autoSpaceDN w:val="0"/>
        <w:adjustRightInd w:val="0"/>
        <w:rPr>
          <w:rFonts w:eastAsiaTheme="minorHAnsi" w:cstheme="minorHAnsi"/>
          <w:bCs/>
          <w:szCs w:val="22"/>
        </w:rPr>
      </w:pPr>
      <w:r>
        <w:rPr>
          <w:rFonts w:eastAsiaTheme="minorHAnsi" w:cstheme="minorHAnsi"/>
          <w:szCs w:val="22"/>
        </w:rPr>
        <w:t>Section B requires that</w:t>
      </w:r>
      <w:r w:rsidRPr="00651380">
        <w:rPr>
          <w:rFonts w:eastAsiaTheme="minorHAnsi" w:cstheme="minorHAnsi"/>
          <w:szCs w:val="22"/>
        </w:rPr>
        <w:t xml:space="preserve"> </w:t>
      </w:r>
      <w:r w:rsidRPr="0014625B">
        <w:rPr>
          <w:rFonts w:eastAsiaTheme="minorHAnsi" w:cstheme="minorHAnsi"/>
          <w:szCs w:val="22"/>
        </w:rPr>
        <w:t>w</w:t>
      </w:r>
      <w:r w:rsidRPr="0014625B">
        <w:rPr>
          <w:rFonts w:eastAsiaTheme="minorHAnsi" w:cstheme="minorHAnsi"/>
          <w:bCs/>
          <w:szCs w:val="22"/>
        </w:rPr>
        <w:t>hen shut down, the controls shall automatically restart the system to maintain:</w:t>
      </w:r>
    </w:p>
    <w:p w14:paraId="15D4CA0F" w14:textId="77777777" w:rsidR="006128D9" w:rsidRPr="00651380" w:rsidRDefault="006128D9" w:rsidP="006128D9">
      <w:pPr>
        <w:autoSpaceDE w:val="0"/>
        <w:autoSpaceDN w:val="0"/>
        <w:adjustRightInd w:val="0"/>
        <w:rPr>
          <w:rFonts w:eastAsiaTheme="minorHAnsi" w:cstheme="minorHAnsi"/>
          <w:szCs w:val="22"/>
        </w:rPr>
      </w:pPr>
      <w:r w:rsidRPr="00651380">
        <w:rPr>
          <w:rFonts w:eastAsiaTheme="minorHAnsi" w:cstheme="minorHAnsi"/>
          <w:szCs w:val="22"/>
        </w:rPr>
        <w:t xml:space="preserve">1. A setback heating thermostat </w:t>
      </w:r>
      <w:proofErr w:type="spellStart"/>
      <w:r w:rsidRPr="00651380">
        <w:rPr>
          <w:rFonts w:eastAsiaTheme="minorHAnsi" w:cstheme="minorHAnsi"/>
          <w:szCs w:val="22"/>
        </w:rPr>
        <w:t>setpoint</w:t>
      </w:r>
      <w:proofErr w:type="spellEnd"/>
      <w:r w:rsidRPr="00651380">
        <w:rPr>
          <w:rFonts w:eastAsiaTheme="minorHAnsi" w:cstheme="minorHAnsi"/>
          <w:szCs w:val="22"/>
        </w:rPr>
        <w:t>, if the system provides mechanical heating.</w:t>
      </w:r>
    </w:p>
    <w:p w14:paraId="1F586496" w14:textId="77777777" w:rsidR="006128D9" w:rsidRPr="00651380" w:rsidRDefault="006128D9" w:rsidP="006128D9">
      <w:pPr>
        <w:autoSpaceDE w:val="0"/>
        <w:autoSpaceDN w:val="0"/>
        <w:adjustRightInd w:val="0"/>
        <w:rPr>
          <w:rFonts w:eastAsiaTheme="minorHAnsi" w:cstheme="minorHAnsi"/>
          <w:szCs w:val="22"/>
        </w:rPr>
      </w:pPr>
      <w:r>
        <w:rPr>
          <w:rFonts w:eastAsiaTheme="minorHAnsi" w:cstheme="minorHAnsi"/>
          <w:i/>
          <w:szCs w:val="22"/>
        </w:rPr>
        <w:t xml:space="preserve">Exception: </w:t>
      </w:r>
      <w:r w:rsidRPr="00651380">
        <w:rPr>
          <w:rFonts w:eastAsiaTheme="minorHAnsi" w:cstheme="minorHAnsi"/>
          <w:szCs w:val="22"/>
        </w:rPr>
        <w:t>Thermostat setback controls are not required in nonresidential buildings in areas where the Winter Median of Extremes outdoor air temperature is greater than 32°F</w:t>
      </w:r>
      <w:r>
        <w:rPr>
          <w:rFonts w:eastAsiaTheme="minorHAnsi" w:cstheme="minorHAnsi"/>
          <w:szCs w:val="22"/>
        </w:rPr>
        <w:t>.</w:t>
      </w:r>
    </w:p>
    <w:p w14:paraId="1D179EBE" w14:textId="77777777" w:rsidR="006128D9" w:rsidRPr="00651380" w:rsidRDefault="006128D9" w:rsidP="006128D9">
      <w:pPr>
        <w:autoSpaceDE w:val="0"/>
        <w:autoSpaceDN w:val="0"/>
        <w:adjustRightInd w:val="0"/>
        <w:rPr>
          <w:rFonts w:eastAsiaTheme="minorHAnsi" w:cstheme="minorHAnsi"/>
          <w:szCs w:val="22"/>
        </w:rPr>
      </w:pPr>
      <w:r w:rsidRPr="00651380">
        <w:rPr>
          <w:rFonts w:eastAsiaTheme="minorHAnsi" w:cstheme="minorHAnsi"/>
          <w:szCs w:val="22"/>
        </w:rPr>
        <w:t xml:space="preserve">2. A setup cooling thermostat </w:t>
      </w:r>
      <w:proofErr w:type="spellStart"/>
      <w:r w:rsidRPr="00651380">
        <w:rPr>
          <w:rFonts w:eastAsiaTheme="minorHAnsi" w:cstheme="minorHAnsi"/>
          <w:szCs w:val="22"/>
        </w:rPr>
        <w:t>setpoint</w:t>
      </w:r>
      <w:proofErr w:type="spellEnd"/>
      <w:r w:rsidRPr="00651380">
        <w:rPr>
          <w:rFonts w:eastAsiaTheme="minorHAnsi" w:cstheme="minorHAnsi"/>
          <w:szCs w:val="22"/>
        </w:rPr>
        <w:t>, if the system provides mechanical cooling.</w:t>
      </w:r>
    </w:p>
    <w:p w14:paraId="2E31A71B" w14:textId="77777777" w:rsidR="006128D9" w:rsidRPr="00651380" w:rsidRDefault="006128D9" w:rsidP="006128D9">
      <w:pPr>
        <w:autoSpaceDE w:val="0"/>
        <w:autoSpaceDN w:val="0"/>
        <w:adjustRightInd w:val="0"/>
        <w:rPr>
          <w:rFonts w:eastAsiaTheme="minorHAnsi" w:cstheme="minorHAnsi"/>
          <w:szCs w:val="22"/>
        </w:rPr>
      </w:pPr>
      <w:r>
        <w:rPr>
          <w:rFonts w:eastAsiaTheme="minorHAnsi" w:cstheme="minorHAnsi"/>
          <w:i/>
          <w:szCs w:val="22"/>
        </w:rPr>
        <w:t xml:space="preserve">Exception: </w:t>
      </w:r>
      <w:r w:rsidRPr="00651380">
        <w:rPr>
          <w:rFonts w:eastAsiaTheme="minorHAnsi" w:cstheme="minorHAnsi"/>
          <w:szCs w:val="22"/>
        </w:rPr>
        <w:t>Thermostat setup controls are not required in nonresidential buildings in areas where the Summer Design Dry Bulb 0.5 percent temperature is less than 100°F.</w:t>
      </w:r>
    </w:p>
    <w:p w14:paraId="41E4869C" w14:textId="77777777" w:rsidR="006128D9" w:rsidRDefault="006128D9" w:rsidP="006128D9">
      <w:pPr>
        <w:rPr>
          <w:rFonts w:cstheme="minorHAnsi"/>
        </w:rPr>
      </w:pPr>
    </w:p>
    <w:p w14:paraId="770CD34E" w14:textId="77777777" w:rsidR="006128D9" w:rsidRPr="00A1066E" w:rsidRDefault="006128D9" w:rsidP="006128D9">
      <w:pPr>
        <w:rPr>
          <w:rFonts w:cstheme="minorHAnsi"/>
          <w:szCs w:val="22"/>
        </w:rPr>
      </w:pPr>
      <w:r w:rsidRPr="00A1066E">
        <w:rPr>
          <w:rFonts w:cstheme="minorHAnsi"/>
          <w:szCs w:val="22"/>
        </w:rPr>
        <w:t>From the ASHRAE Standard 90.1-</w:t>
      </w:r>
      <w:r w:rsidRPr="00C240DD">
        <w:rPr>
          <w:rFonts w:cstheme="minorHAnsi"/>
          <w:szCs w:val="22"/>
        </w:rPr>
        <w:t>2013 [</w:t>
      </w:r>
      <w:r>
        <w:rPr>
          <w:rFonts w:cstheme="minorHAnsi"/>
          <w:szCs w:val="22"/>
        </w:rPr>
        <w:t>A</w:t>
      </w:r>
      <w:r w:rsidRPr="00C240DD">
        <w:rPr>
          <w:rFonts w:cstheme="minorHAnsi"/>
          <w:szCs w:val="22"/>
        </w:rPr>
        <w:t>], the</w:t>
      </w:r>
      <w:r w:rsidRPr="00A1066E">
        <w:rPr>
          <w:rFonts w:cstheme="minorHAnsi"/>
          <w:szCs w:val="22"/>
        </w:rPr>
        <w:t xml:space="preserve"> thermostat must be capable of temperature setback down to 55°F and a temperature setup of 90°F during unoccupied hours.</w:t>
      </w:r>
    </w:p>
    <w:p w14:paraId="42133FDC" w14:textId="77777777" w:rsidR="006128D9" w:rsidRPr="00A1066E" w:rsidRDefault="006128D9" w:rsidP="006128D9">
      <w:pPr>
        <w:rPr>
          <w:rFonts w:cstheme="minorHAnsi"/>
          <w:szCs w:val="22"/>
        </w:rPr>
      </w:pPr>
    </w:p>
    <w:p w14:paraId="7785C3BE" w14:textId="77777777" w:rsidR="006128D9" w:rsidRPr="00A1066E" w:rsidRDefault="006128D9" w:rsidP="006128D9">
      <w:pPr>
        <w:rPr>
          <w:rFonts w:cstheme="minorHAnsi"/>
          <w:szCs w:val="22"/>
        </w:rPr>
      </w:pPr>
      <w:r w:rsidRPr="00EB33AA">
        <w:rPr>
          <w:rFonts w:cstheme="minorHAnsi"/>
          <w:szCs w:val="22"/>
        </w:rPr>
        <w:t xml:space="preserve">ASHRAE HVAC Applications 2015 handbook [499] states that science classrooms (or school laboratories) may require fume hoods with special exhaust systems.  If there are no fume hoods, a room exhaust system is recommended for odor removal, depending on the type of experiments conducted in the room </w:t>
      </w:r>
      <w:r w:rsidRPr="00EB33AA">
        <w:rPr>
          <w:rFonts w:cstheme="minorHAnsi"/>
          <w:szCs w:val="22"/>
        </w:rPr>
        <w:lastRenderedPageBreak/>
        <w:t>and whether animals are kept within the room.  Any associated storage and preparation rooms are generally exhausted continuously to remove odors and vapors emanating from stored materials.</w:t>
      </w:r>
    </w:p>
    <w:p w14:paraId="78A36538" w14:textId="77777777" w:rsidR="00E8010E" w:rsidRPr="00A1066E" w:rsidRDefault="00E8010E" w:rsidP="00E8010E">
      <w:pPr>
        <w:rPr>
          <w:rFonts w:cstheme="minorHAnsi"/>
          <w:szCs w:val="22"/>
        </w:rPr>
      </w:pPr>
    </w:p>
    <w:p w14:paraId="284601E7" w14:textId="343181A8"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1434"/>
        <w:gridCol w:w="6302"/>
        <w:gridCol w:w="1614"/>
      </w:tblGrid>
      <w:tr w:rsidR="00881A42" w:rsidRPr="00500C4E" w14:paraId="51467286" w14:textId="77777777" w:rsidTr="00393B3B">
        <w:tc>
          <w:tcPr>
            <w:tcW w:w="767" w:type="pct"/>
            <w:shd w:val="clear" w:color="auto" w:fill="D9D9D9" w:themeFill="background1" w:themeFillShade="D9"/>
          </w:tcPr>
          <w:p w14:paraId="20C3C2B4" w14:textId="77777777" w:rsidR="00881A42" w:rsidRPr="00920905" w:rsidRDefault="00881A42" w:rsidP="00DF0D19">
            <w:pPr>
              <w:rPr>
                <w:rFonts w:cstheme="minorHAnsi"/>
                <w:b/>
                <w:szCs w:val="20"/>
              </w:rPr>
            </w:pPr>
            <w:r w:rsidRPr="00920905">
              <w:rPr>
                <w:rFonts w:cstheme="minorHAnsi"/>
                <w:b/>
                <w:szCs w:val="20"/>
              </w:rPr>
              <w:t>Code</w:t>
            </w:r>
          </w:p>
        </w:tc>
        <w:tc>
          <w:tcPr>
            <w:tcW w:w="3370" w:type="pct"/>
            <w:shd w:val="clear" w:color="auto" w:fill="D9D9D9" w:themeFill="background1" w:themeFillShade="D9"/>
          </w:tcPr>
          <w:p w14:paraId="11112752" w14:textId="30F242E1" w:rsidR="00881A42" w:rsidRPr="00920905" w:rsidRDefault="00B614F1">
            <w:pPr>
              <w:rPr>
                <w:rFonts w:cstheme="minorHAnsi"/>
                <w:b/>
                <w:szCs w:val="20"/>
              </w:rPr>
            </w:pPr>
            <w:r>
              <w:rPr>
                <w:rFonts w:cstheme="minorHAnsi"/>
                <w:b/>
                <w:szCs w:val="20"/>
              </w:rPr>
              <w:t>R</w:t>
            </w:r>
            <w:r w:rsidR="00881A42" w:rsidRPr="00920905">
              <w:rPr>
                <w:rFonts w:cstheme="minorHAnsi"/>
                <w:b/>
                <w:szCs w:val="20"/>
              </w:rPr>
              <w:t>eference</w:t>
            </w:r>
          </w:p>
        </w:tc>
        <w:tc>
          <w:tcPr>
            <w:tcW w:w="864" w:type="pct"/>
            <w:shd w:val="clear" w:color="auto" w:fill="D9D9D9" w:themeFill="background1" w:themeFillShade="D9"/>
          </w:tcPr>
          <w:p w14:paraId="5A1E238B" w14:textId="58FC8C8D" w:rsidR="00881A42" w:rsidRPr="00920905" w:rsidRDefault="00881A42" w:rsidP="00DF0D19">
            <w:pPr>
              <w:rPr>
                <w:rFonts w:cstheme="minorHAnsi"/>
                <w:b/>
                <w:szCs w:val="20"/>
              </w:rPr>
            </w:pPr>
            <w:r w:rsidRPr="00920905">
              <w:rPr>
                <w:rFonts w:cstheme="minorHAnsi"/>
                <w:b/>
                <w:szCs w:val="20"/>
              </w:rPr>
              <w:t>Effective Date</w:t>
            </w:r>
            <w:r w:rsidR="00CB04D2">
              <w:rPr>
                <w:rFonts w:cstheme="minorHAnsi"/>
                <w:b/>
                <w:szCs w:val="20"/>
              </w:rPr>
              <w:t>s</w:t>
            </w:r>
          </w:p>
        </w:tc>
      </w:tr>
      <w:tr w:rsidR="00881A42" w:rsidRPr="00500C4E" w14:paraId="41E6B4DA" w14:textId="77777777" w:rsidTr="00393B3B">
        <w:trPr>
          <w:trHeight w:val="243"/>
        </w:trPr>
        <w:tc>
          <w:tcPr>
            <w:tcW w:w="767" w:type="pct"/>
          </w:tcPr>
          <w:p w14:paraId="16A44F28" w14:textId="1068AD7F" w:rsidR="00881A42" w:rsidRPr="00765265" w:rsidRDefault="006A6D15" w:rsidP="00DF0D19">
            <w:pPr>
              <w:rPr>
                <w:rFonts w:cstheme="minorHAnsi"/>
                <w:szCs w:val="20"/>
              </w:rPr>
            </w:pPr>
            <w:r w:rsidRPr="00765265">
              <w:rPr>
                <w:rFonts w:cstheme="minorHAnsi"/>
                <w:szCs w:val="20"/>
              </w:rPr>
              <w:t>Title 24 (201</w:t>
            </w:r>
            <w:r w:rsidR="00DD12FA">
              <w:rPr>
                <w:rFonts w:cstheme="minorHAnsi"/>
                <w:szCs w:val="20"/>
              </w:rPr>
              <w:t>6</w:t>
            </w:r>
            <w:r w:rsidR="00881A42" w:rsidRPr="00765265">
              <w:rPr>
                <w:rFonts w:cstheme="minorHAnsi"/>
                <w:szCs w:val="20"/>
              </w:rPr>
              <w:t>)</w:t>
            </w:r>
          </w:p>
        </w:tc>
        <w:tc>
          <w:tcPr>
            <w:tcW w:w="3370" w:type="pct"/>
          </w:tcPr>
          <w:p w14:paraId="387D6828" w14:textId="35931046" w:rsidR="00881A42" w:rsidRPr="00765265" w:rsidRDefault="006128D9" w:rsidP="0024555F">
            <w:pPr>
              <w:rPr>
                <w:rFonts w:cstheme="minorHAnsi"/>
                <w:szCs w:val="20"/>
              </w:rPr>
            </w:pPr>
            <w:r w:rsidRPr="00765265">
              <w:rPr>
                <w:rFonts w:cstheme="minorHAnsi"/>
                <w:szCs w:val="20"/>
              </w:rPr>
              <w:t>201</w:t>
            </w:r>
            <w:r>
              <w:rPr>
                <w:rFonts w:cstheme="minorHAnsi"/>
                <w:szCs w:val="20"/>
              </w:rPr>
              <w:t>6</w:t>
            </w:r>
            <w:r w:rsidRPr="00765265">
              <w:rPr>
                <w:rFonts w:cstheme="minorHAnsi"/>
                <w:szCs w:val="20"/>
              </w:rPr>
              <w:t xml:space="preserve"> Non-Residential Compliance Manual, Section 4.</w:t>
            </w:r>
            <w:r>
              <w:rPr>
                <w:rFonts w:cstheme="minorHAnsi"/>
                <w:szCs w:val="20"/>
              </w:rPr>
              <w:t xml:space="preserve">5.1.1 Zone </w:t>
            </w:r>
            <w:r w:rsidRPr="00765265">
              <w:rPr>
                <w:rFonts w:cstheme="minorHAnsi"/>
                <w:szCs w:val="20"/>
              </w:rPr>
              <w:t>Thermostat</w:t>
            </w:r>
            <w:r>
              <w:rPr>
                <w:rFonts w:cstheme="minorHAnsi"/>
                <w:szCs w:val="20"/>
              </w:rPr>
              <w:t>ic Controls, Section 4.5.1.4 Shut-off and Temperature Setback/Setup</w:t>
            </w:r>
          </w:p>
        </w:tc>
        <w:tc>
          <w:tcPr>
            <w:tcW w:w="864" w:type="pct"/>
          </w:tcPr>
          <w:p w14:paraId="3E1189F8" w14:textId="66CC4E6C" w:rsidR="00881A42" w:rsidRPr="00765265" w:rsidRDefault="006A6D15" w:rsidP="00DF0D19">
            <w:pPr>
              <w:rPr>
                <w:rFonts w:cstheme="minorHAnsi"/>
                <w:szCs w:val="20"/>
              </w:rPr>
            </w:pPr>
            <w:r w:rsidRPr="00765265">
              <w:rPr>
                <w:rFonts w:cstheme="minorHAnsi"/>
                <w:szCs w:val="20"/>
              </w:rPr>
              <w:t>J</w:t>
            </w:r>
            <w:r w:rsidR="00F373FB">
              <w:rPr>
                <w:rFonts w:cstheme="minorHAnsi"/>
                <w:szCs w:val="20"/>
              </w:rPr>
              <w:t>anuary 1, 2017</w:t>
            </w:r>
          </w:p>
        </w:tc>
      </w:tr>
      <w:tr w:rsidR="00E8010E" w:rsidRPr="00500C4E" w14:paraId="55950BED" w14:textId="77777777" w:rsidTr="00393B3B">
        <w:trPr>
          <w:trHeight w:val="243"/>
        </w:trPr>
        <w:tc>
          <w:tcPr>
            <w:tcW w:w="767" w:type="pct"/>
            <w:vAlign w:val="center"/>
          </w:tcPr>
          <w:p w14:paraId="4AB4ED28" w14:textId="7B3AEC8F" w:rsidR="00E8010E" w:rsidRPr="00500C4E" w:rsidRDefault="00E8010E" w:rsidP="00E8010E">
            <w:pPr>
              <w:rPr>
                <w:rFonts w:cstheme="minorHAnsi"/>
                <w:szCs w:val="20"/>
              </w:rPr>
            </w:pPr>
            <w:r w:rsidRPr="00A42412">
              <w:rPr>
                <w:rFonts w:cstheme="minorHAnsi"/>
                <w:szCs w:val="20"/>
              </w:rPr>
              <w:t>ASHRAE</w:t>
            </w:r>
          </w:p>
        </w:tc>
        <w:tc>
          <w:tcPr>
            <w:tcW w:w="3370" w:type="pct"/>
            <w:vAlign w:val="center"/>
          </w:tcPr>
          <w:p w14:paraId="19FAE8D5" w14:textId="68B8684B" w:rsidR="00E8010E" w:rsidRPr="00500C4E" w:rsidRDefault="00E8010E" w:rsidP="00E8010E">
            <w:pPr>
              <w:rPr>
                <w:rFonts w:cstheme="minorHAnsi"/>
                <w:color w:val="FF0000"/>
                <w:szCs w:val="20"/>
              </w:rPr>
            </w:pPr>
            <w:r w:rsidRPr="00A42412">
              <w:rPr>
                <w:rFonts w:cstheme="minorHAnsi"/>
                <w:szCs w:val="20"/>
              </w:rPr>
              <w:t>Standard 90.1-20</w:t>
            </w:r>
            <w:r>
              <w:rPr>
                <w:rFonts w:cstheme="minorHAnsi"/>
                <w:szCs w:val="20"/>
              </w:rPr>
              <w:t>13</w:t>
            </w:r>
          </w:p>
        </w:tc>
        <w:tc>
          <w:tcPr>
            <w:tcW w:w="864" w:type="pct"/>
            <w:vAlign w:val="center"/>
          </w:tcPr>
          <w:p w14:paraId="49C2E9ED" w14:textId="7CBAB5ED" w:rsidR="00E8010E" w:rsidRPr="00500C4E" w:rsidRDefault="00E8010E" w:rsidP="00E8010E">
            <w:pPr>
              <w:rPr>
                <w:rFonts w:cstheme="minorHAnsi"/>
                <w:color w:val="FF0000"/>
                <w:szCs w:val="20"/>
              </w:rPr>
            </w:pPr>
            <w:r w:rsidRPr="00A42412">
              <w:rPr>
                <w:rFonts w:cstheme="minorHAnsi"/>
                <w:szCs w:val="20"/>
              </w:rPr>
              <w:t>20</w:t>
            </w:r>
            <w:r>
              <w:rPr>
                <w:rFonts w:cstheme="minorHAnsi"/>
                <w:szCs w:val="20"/>
              </w:rPr>
              <w:t>13</w:t>
            </w:r>
          </w:p>
        </w:tc>
      </w:tr>
    </w:tbl>
    <w:p w14:paraId="658749F7" w14:textId="6B8A7A0D" w:rsidR="00572D2F" w:rsidRPr="00920905" w:rsidRDefault="00572D2F" w:rsidP="00920905">
      <w:pPr>
        <w:pStyle w:val="Heading2"/>
        <w:rPr>
          <w:rFonts w:cstheme="minorHAnsi"/>
          <w:b w:val="0"/>
          <w:bCs w:val="0"/>
          <w:iCs w:val="0"/>
          <w:smallCaps w:val="0"/>
        </w:rPr>
      </w:pPr>
      <w:bookmarkStart w:id="11" w:name="_Toc304800207"/>
      <w:bookmarkStart w:id="12" w:name="_Toc324318343"/>
      <w:bookmarkStart w:id="13" w:name="_Toc324340487"/>
      <w:bookmarkStart w:id="14" w:name="_Toc383441992"/>
      <w:bookmarkStart w:id="15"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1"/>
      <w:bookmarkEnd w:id="12"/>
      <w:bookmarkEnd w:id="13"/>
      <w:bookmarkEnd w:id="14"/>
    </w:p>
    <w:p w14:paraId="7C37D519" w14:textId="4958BCC0" w:rsidR="00572D2F" w:rsidRPr="00765265" w:rsidRDefault="00765265" w:rsidP="00920905">
      <w:pPr>
        <w:pStyle w:val="NoSpacing"/>
        <w:rPr>
          <w:b/>
        </w:rPr>
      </w:pPr>
      <w:r w:rsidRPr="00765265">
        <w:t>N/A</w:t>
      </w:r>
    </w:p>
    <w:p w14:paraId="473D00CC" w14:textId="58C88335" w:rsidR="009844A1" w:rsidRPr="00765265" w:rsidRDefault="009844A1" w:rsidP="009844A1">
      <w:pPr>
        <w:pStyle w:val="Heading2"/>
        <w:rPr>
          <w:rFonts w:asciiTheme="minorHAnsi" w:hAnsiTheme="minorHAnsi" w:cstheme="minorHAnsi"/>
        </w:rPr>
      </w:pPr>
      <w:r w:rsidRPr="00765265">
        <w:rPr>
          <w:rFonts w:asciiTheme="minorHAnsi" w:hAnsiTheme="minorHAnsi" w:cstheme="minorHAnsi"/>
        </w:rPr>
        <w:t xml:space="preserve">1.6 Data </w:t>
      </w:r>
      <w:r w:rsidR="00602F18" w:rsidRPr="00765265">
        <w:rPr>
          <w:rFonts w:asciiTheme="minorHAnsi" w:hAnsiTheme="minorHAnsi" w:cstheme="minorHAnsi"/>
        </w:rPr>
        <w:t>Quality and Future Data Needs</w:t>
      </w:r>
    </w:p>
    <w:p w14:paraId="5274C3FC" w14:textId="05E91F4C" w:rsidR="00602F18" w:rsidRPr="00765265" w:rsidRDefault="00765265" w:rsidP="00765265">
      <w:pPr>
        <w:rPr>
          <w:rFonts w:cs="Arial"/>
          <w:szCs w:val="22"/>
        </w:rPr>
      </w:pPr>
      <w:r w:rsidRPr="00765265">
        <w:rPr>
          <w:rFonts w:cs="Arial"/>
          <w:szCs w:val="22"/>
        </w:rPr>
        <w:t>N/A</w:t>
      </w:r>
    </w:p>
    <w:p w14:paraId="015A5544" w14:textId="332FA672" w:rsidR="00E16609" w:rsidRPr="00500C4E" w:rsidRDefault="00E16609" w:rsidP="00560934">
      <w:pPr>
        <w:pStyle w:val="Heading1"/>
        <w:keepNext w:val="0"/>
        <w:rPr>
          <w:rFonts w:cstheme="minorHAnsi"/>
        </w:rPr>
      </w:pPr>
      <w:r w:rsidRPr="00500C4E">
        <w:rPr>
          <w:rFonts w:cstheme="minorHAnsi"/>
        </w:rPr>
        <w:t>Section 2</w:t>
      </w:r>
      <w:r w:rsidR="00317970">
        <w:rPr>
          <w:rFonts w:cstheme="minorHAnsi"/>
        </w:rPr>
        <w:t>.</w:t>
      </w:r>
      <w:r w:rsidR="00317970" w:rsidRPr="00500C4E">
        <w:rPr>
          <w:rFonts w:cstheme="minorHAnsi"/>
        </w:rPr>
        <w:t xml:space="preserve"> </w:t>
      </w:r>
      <w:r w:rsidRPr="00500C4E">
        <w:rPr>
          <w:rFonts w:cstheme="minorHAnsi"/>
        </w:rPr>
        <w:t>Calculation</w:t>
      </w:r>
      <w:bookmarkEnd w:id="15"/>
      <w:r w:rsidR="00755A45" w:rsidRPr="00500C4E">
        <w:rPr>
          <w:rFonts w:cstheme="minorHAnsi"/>
        </w:rPr>
        <w:t xml:space="preserve"> Methodology</w:t>
      </w:r>
    </w:p>
    <w:p w14:paraId="602A6330" w14:textId="06C090A4" w:rsidR="00765265" w:rsidRDefault="00765265" w:rsidP="00765265">
      <w:pPr>
        <w:rPr>
          <w:rFonts w:cstheme="minorHAnsi"/>
          <w:szCs w:val="22"/>
        </w:rPr>
      </w:pPr>
      <w:r w:rsidRPr="00ED0C0C">
        <w:rPr>
          <w:rFonts w:cstheme="minorHAnsi"/>
          <w:szCs w:val="22"/>
        </w:rPr>
        <w:t xml:space="preserve">This </w:t>
      </w:r>
      <w:r w:rsidR="006128D9">
        <w:rPr>
          <w:rFonts w:cstheme="minorHAnsi"/>
          <w:szCs w:val="22"/>
        </w:rPr>
        <w:t xml:space="preserve">section provides the step by step calculation methodology for estimating the </w:t>
      </w:r>
      <w:r w:rsidRPr="00ED0C0C">
        <w:rPr>
          <w:rFonts w:cstheme="minorHAnsi"/>
          <w:szCs w:val="22"/>
        </w:rPr>
        <w:t xml:space="preserve">electrical and natural gas energy savings and peak demand savings for a classroom with an occupancy sensor controlled HVAC system.  </w:t>
      </w:r>
    </w:p>
    <w:p w14:paraId="19617E07" w14:textId="1255D038" w:rsidR="006128D9" w:rsidRDefault="006128D9" w:rsidP="00765265">
      <w:pPr>
        <w:rPr>
          <w:rFonts w:cstheme="minorHAnsi"/>
          <w:szCs w:val="22"/>
        </w:rPr>
      </w:pPr>
    </w:p>
    <w:p w14:paraId="0121A474" w14:textId="2479A5D1" w:rsidR="006128D9" w:rsidRPr="00C67A49" w:rsidRDefault="00C11E24" w:rsidP="00D56D2C">
      <w:pPr>
        <w:pStyle w:val="ListParagraph"/>
        <w:numPr>
          <w:ilvl w:val="0"/>
          <w:numId w:val="6"/>
        </w:numPr>
        <w:rPr>
          <w:rFonts w:cstheme="minorHAnsi"/>
          <w:szCs w:val="22"/>
        </w:rPr>
      </w:pPr>
      <w:r>
        <w:rPr>
          <w:rFonts w:cstheme="minorHAnsi"/>
          <w:szCs w:val="22"/>
        </w:rPr>
        <w:lastRenderedPageBreak/>
        <w:t xml:space="preserve">DEER Prototypes are downloaded from MAS Control </w:t>
      </w:r>
      <w:r>
        <w:t xml:space="preserve">v3.00.27, the last version of MAS Control with </w:t>
      </w:r>
      <w:r w:rsidR="001C4CBF">
        <w:t xml:space="preserve">prototypes having </w:t>
      </w:r>
      <w:r>
        <w:t xml:space="preserve">HVAC Packaged units. The versions after </w:t>
      </w:r>
      <w:r w:rsidR="001C4CBF">
        <w:t xml:space="preserve">v3.00.27 do not have prototypes with HVAC packaged units. </w:t>
      </w:r>
      <w:r>
        <w:t xml:space="preserve"> </w:t>
      </w:r>
    </w:p>
    <w:p w14:paraId="0D7B0313" w14:textId="543B190D" w:rsidR="001C4CBF" w:rsidRPr="008A412F" w:rsidRDefault="001C4CBF" w:rsidP="00D56D2C">
      <w:pPr>
        <w:pStyle w:val="ListParagraph"/>
        <w:numPr>
          <w:ilvl w:val="0"/>
          <w:numId w:val="6"/>
        </w:numPr>
        <w:rPr>
          <w:rFonts w:cstheme="minorHAnsi"/>
          <w:szCs w:val="22"/>
        </w:rPr>
      </w:pPr>
      <w:r w:rsidRPr="008A412F">
        <w:rPr>
          <w:rFonts w:cstheme="minorHAnsi"/>
          <w:szCs w:val="22"/>
        </w:rPr>
        <w:t xml:space="preserve">The prototypes are downloaded for the following building types where the measure is eligible. </w:t>
      </w:r>
      <w:r w:rsidR="004C02CD" w:rsidRPr="008A412F">
        <w:rPr>
          <w:rFonts w:cstheme="minorHAnsi"/>
          <w:szCs w:val="22"/>
        </w:rPr>
        <w:t xml:space="preserve">Education Universities and Education Community Colleges were not considered for the measures in this work paper because these building types typically have Building Automation System (BAS) and there </w:t>
      </w:r>
      <w:r w:rsidR="008A412F" w:rsidRPr="008A412F">
        <w:rPr>
          <w:rFonts w:cstheme="minorHAnsi"/>
          <w:szCs w:val="22"/>
        </w:rPr>
        <w:t xml:space="preserve">were minimal if no instances where the occupancy reduces to less than 50%. </w:t>
      </w:r>
      <w:r w:rsidRPr="008A412F">
        <w:rPr>
          <w:rFonts w:cstheme="minorHAnsi"/>
          <w:szCs w:val="22"/>
        </w:rPr>
        <w:t>The case option selected in MAS Control is customer average (Cav)</w:t>
      </w:r>
      <w:r w:rsidR="00950610">
        <w:rPr>
          <w:rFonts w:cstheme="minorHAnsi"/>
          <w:szCs w:val="22"/>
        </w:rPr>
        <w:t>.</w:t>
      </w:r>
    </w:p>
    <w:p w14:paraId="3BECBA61" w14:textId="77777777" w:rsidR="00365BD4" w:rsidRDefault="00365BD4" w:rsidP="004C02CD">
      <w:pPr>
        <w:pStyle w:val="ListParagraph"/>
        <w:rPr>
          <w:rFonts w:cstheme="minorHAnsi"/>
          <w:szCs w:val="22"/>
        </w:rPr>
      </w:pPr>
    </w:p>
    <w:tbl>
      <w:tblPr>
        <w:tblStyle w:val="TableGrid"/>
        <w:tblW w:w="0" w:type="auto"/>
        <w:tblInd w:w="720" w:type="dxa"/>
        <w:tblLook w:val="04A0" w:firstRow="1" w:lastRow="0" w:firstColumn="1" w:lastColumn="0" w:noHBand="0" w:noVBand="1"/>
      </w:tblPr>
      <w:tblGrid>
        <w:gridCol w:w="4293"/>
        <w:gridCol w:w="4337"/>
      </w:tblGrid>
      <w:tr w:rsidR="001C4CBF" w14:paraId="742886DF" w14:textId="77777777" w:rsidTr="00C67A49">
        <w:tc>
          <w:tcPr>
            <w:tcW w:w="4788" w:type="dxa"/>
            <w:shd w:val="clear" w:color="auto" w:fill="D9D9D9" w:themeFill="background1" w:themeFillShade="D9"/>
          </w:tcPr>
          <w:p w14:paraId="12A8DEBA" w14:textId="38C756D4" w:rsidR="001C4CBF" w:rsidRPr="00C67A49" w:rsidRDefault="001C4CBF" w:rsidP="00C67A49">
            <w:pPr>
              <w:rPr>
                <w:rFonts w:cstheme="minorHAnsi"/>
                <w:b/>
                <w:sz w:val="20"/>
                <w:szCs w:val="20"/>
              </w:rPr>
            </w:pPr>
            <w:r w:rsidRPr="00C67A49">
              <w:rPr>
                <w:rFonts w:cstheme="minorHAnsi"/>
                <w:b/>
                <w:sz w:val="20"/>
                <w:szCs w:val="20"/>
              </w:rPr>
              <w:t>Eligible building type DEER Anonym</w:t>
            </w:r>
          </w:p>
        </w:tc>
        <w:tc>
          <w:tcPr>
            <w:tcW w:w="4788" w:type="dxa"/>
            <w:shd w:val="clear" w:color="auto" w:fill="D9D9D9" w:themeFill="background1" w:themeFillShade="D9"/>
          </w:tcPr>
          <w:p w14:paraId="73754016" w14:textId="3EB37627" w:rsidR="001C4CBF" w:rsidRPr="00C67A49" w:rsidRDefault="001C4CBF" w:rsidP="00C67A49">
            <w:pPr>
              <w:rPr>
                <w:rFonts w:cstheme="minorHAnsi"/>
                <w:b/>
                <w:sz w:val="20"/>
                <w:szCs w:val="20"/>
              </w:rPr>
            </w:pPr>
            <w:r w:rsidRPr="00C67A49">
              <w:rPr>
                <w:rFonts w:cstheme="minorHAnsi"/>
                <w:b/>
                <w:sz w:val="20"/>
                <w:szCs w:val="20"/>
              </w:rPr>
              <w:t xml:space="preserve">Building Description </w:t>
            </w:r>
          </w:p>
        </w:tc>
      </w:tr>
      <w:tr w:rsidR="001C4CBF" w14:paraId="438DAA0D" w14:textId="77777777" w:rsidTr="001C4CBF">
        <w:tc>
          <w:tcPr>
            <w:tcW w:w="4788" w:type="dxa"/>
          </w:tcPr>
          <w:p w14:paraId="51CB1504" w14:textId="6440CC5F" w:rsidR="001C4CBF" w:rsidRDefault="001C4CBF" w:rsidP="001C4CBF">
            <w:pPr>
              <w:pStyle w:val="ListParagraph"/>
              <w:ind w:left="0"/>
              <w:rPr>
                <w:rFonts w:cstheme="minorHAnsi"/>
                <w:szCs w:val="22"/>
              </w:rPr>
            </w:pPr>
            <w:r>
              <w:rPr>
                <w:rFonts w:cstheme="minorHAnsi"/>
                <w:szCs w:val="22"/>
              </w:rPr>
              <w:t>ERC</w:t>
            </w:r>
          </w:p>
        </w:tc>
        <w:tc>
          <w:tcPr>
            <w:tcW w:w="4788" w:type="dxa"/>
          </w:tcPr>
          <w:p w14:paraId="76F22BF7" w14:textId="1E59AB2E" w:rsidR="001C4CBF" w:rsidRDefault="001C4CBF" w:rsidP="001C4CBF">
            <w:pPr>
              <w:pStyle w:val="ListParagraph"/>
              <w:ind w:left="0"/>
              <w:rPr>
                <w:rFonts w:cstheme="minorHAnsi"/>
                <w:szCs w:val="22"/>
              </w:rPr>
            </w:pPr>
            <w:r>
              <w:rPr>
                <w:rFonts w:cstheme="minorHAnsi"/>
                <w:szCs w:val="22"/>
              </w:rPr>
              <w:t xml:space="preserve">Education – Relocatable Classrooms </w:t>
            </w:r>
          </w:p>
        </w:tc>
      </w:tr>
      <w:tr w:rsidR="001C4CBF" w14:paraId="6417B94F" w14:textId="77777777" w:rsidTr="001C4CBF">
        <w:tc>
          <w:tcPr>
            <w:tcW w:w="4788" w:type="dxa"/>
          </w:tcPr>
          <w:p w14:paraId="2CC1905D" w14:textId="6AB43E34" w:rsidR="001C4CBF" w:rsidRDefault="001C4CBF" w:rsidP="001C4CBF">
            <w:pPr>
              <w:pStyle w:val="ListParagraph"/>
              <w:ind w:left="0"/>
              <w:rPr>
                <w:rFonts w:cstheme="minorHAnsi"/>
                <w:szCs w:val="22"/>
              </w:rPr>
            </w:pPr>
            <w:proofErr w:type="spellStart"/>
            <w:r>
              <w:rPr>
                <w:rFonts w:cstheme="minorHAnsi"/>
                <w:szCs w:val="22"/>
              </w:rPr>
              <w:t>ESe</w:t>
            </w:r>
            <w:proofErr w:type="spellEnd"/>
          </w:p>
        </w:tc>
        <w:tc>
          <w:tcPr>
            <w:tcW w:w="4788" w:type="dxa"/>
          </w:tcPr>
          <w:p w14:paraId="18CBF8E2" w14:textId="2F799B0C" w:rsidR="001C4CBF" w:rsidRDefault="001C4CBF" w:rsidP="001C4CBF">
            <w:pPr>
              <w:pStyle w:val="ListParagraph"/>
              <w:ind w:left="0"/>
              <w:rPr>
                <w:rFonts w:cstheme="minorHAnsi"/>
                <w:szCs w:val="22"/>
              </w:rPr>
            </w:pPr>
            <w:r>
              <w:rPr>
                <w:rFonts w:cstheme="minorHAnsi"/>
                <w:szCs w:val="22"/>
              </w:rPr>
              <w:t>Education – Secondary</w:t>
            </w:r>
          </w:p>
        </w:tc>
      </w:tr>
      <w:tr w:rsidR="001C4CBF" w14:paraId="30B4F626" w14:textId="77777777" w:rsidTr="001C4CBF">
        <w:tc>
          <w:tcPr>
            <w:tcW w:w="4788" w:type="dxa"/>
          </w:tcPr>
          <w:p w14:paraId="7D2D0947" w14:textId="101ECA74" w:rsidR="001C4CBF" w:rsidRDefault="001C4CBF" w:rsidP="001C4CBF">
            <w:pPr>
              <w:pStyle w:val="ListParagraph"/>
              <w:ind w:left="0"/>
              <w:rPr>
                <w:rFonts w:cstheme="minorHAnsi"/>
                <w:szCs w:val="22"/>
              </w:rPr>
            </w:pPr>
            <w:proofErr w:type="spellStart"/>
            <w:r>
              <w:rPr>
                <w:rFonts w:cstheme="minorHAnsi"/>
                <w:szCs w:val="22"/>
              </w:rPr>
              <w:t>EPr</w:t>
            </w:r>
            <w:proofErr w:type="spellEnd"/>
          </w:p>
        </w:tc>
        <w:tc>
          <w:tcPr>
            <w:tcW w:w="4788" w:type="dxa"/>
          </w:tcPr>
          <w:p w14:paraId="43C9D31E" w14:textId="658A3994" w:rsidR="001C4CBF" w:rsidRDefault="001C4CBF" w:rsidP="001C4CBF">
            <w:pPr>
              <w:pStyle w:val="ListParagraph"/>
              <w:ind w:left="0"/>
              <w:rPr>
                <w:rFonts w:cstheme="minorHAnsi"/>
                <w:szCs w:val="22"/>
              </w:rPr>
            </w:pPr>
            <w:r>
              <w:rPr>
                <w:rFonts w:cstheme="minorHAnsi"/>
                <w:szCs w:val="22"/>
              </w:rPr>
              <w:t xml:space="preserve">Education – Primary </w:t>
            </w:r>
          </w:p>
        </w:tc>
      </w:tr>
    </w:tbl>
    <w:p w14:paraId="5C289DE3" w14:textId="77777777" w:rsidR="004C02CD" w:rsidRDefault="004C02CD" w:rsidP="004C02CD">
      <w:pPr>
        <w:rPr>
          <w:rFonts w:cstheme="minorHAnsi"/>
          <w:szCs w:val="22"/>
        </w:rPr>
      </w:pPr>
    </w:p>
    <w:p w14:paraId="58E8CC93" w14:textId="257A33F9" w:rsidR="001C4CBF" w:rsidRPr="004C02CD" w:rsidRDefault="001C4CBF" w:rsidP="00D56D2C">
      <w:pPr>
        <w:pStyle w:val="ListParagraph"/>
        <w:numPr>
          <w:ilvl w:val="0"/>
          <w:numId w:val="6"/>
        </w:numPr>
        <w:rPr>
          <w:rFonts w:cstheme="minorHAnsi"/>
          <w:szCs w:val="22"/>
        </w:rPr>
      </w:pPr>
      <w:r w:rsidRPr="004C02CD">
        <w:rPr>
          <w:rFonts w:cstheme="minorHAnsi"/>
          <w:szCs w:val="22"/>
        </w:rPr>
        <w:t xml:space="preserve">This measure is applicable to all the vintages. However, for the analysis only vintage 2003 is considered. This is because, per DEER2014 Building Weights, the weights are relatively high for vintages 1996 and 2003 as per the table below. </w:t>
      </w:r>
      <w:r w:rsidR="003E3BB7" w:rsidRPr="004C02CD">
        <w:rPr>
          <w:rFonts w:cstheme="minorHAnsi"/>
          <w:szCs w:val="22"/>
        </w:rPr>
        <w:t xml:space="preserve">Being conservative, vintage 2003 is chosen over 1996.  </w:t>
      </w:r>
    </w:p>
    <w:tbl>
      <w:tblPr>
        <w:tblW w:w="3840" w:type="dxa"/>
        <w:tblInd w:w="2730" w:type="dxa"/>
        <w:tblLook w:val="04A0" w:firstRow="1" w:lastRow="0" w:firstColumn="1" w:lastColumn="0" w:noHBand="0" w:noVBand="1"/>
      </w:tblPr>
      <w:tblGrid>
        <w:gridCol w:w="960"/>
        <w:gridCol w:w="960"/>
        <w:gridCol w:w="960"/>
        <w:gridCol w:w="960"/>
      </w:tblGrid>
      <w:tr w:rsidR="001C4CBF" w:rsidRPr="00C718A3" w14:paraId="2877271C" w14:textId="77777777" w:rsidTr="00C67A49">
        <w:trPr>
          <w:trHeight w:val="900"/>
        </w:trPr>
        <w:tc>
          <w:tcPr>
            <w:tcW w:w="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519B81A" w14:textId="77777777" w:rsidR="001C4CBF" w:rsidRPr="00C67A49" w:rsidRDefault="001C4CBF" w:rsidP="009175EE">
            <w:pPr>
              <w:rPr>
                <w:rFonts w:cstheme="minorHAnsi"/>
                <w:b/>
                <w:sz w:val="20"/>
                <w:szCs w:val="20"/>
              </w:rPr>
            </w:pPr>
            <w:proofErr w:type="spellStart"/>
            <w:r w:rsidRPr="00C67A49">
              <w:rPr>
                <w:rFonts w:cstheme="minorHAnsi"/>
                <w:b/>
                <w:sz w:val="20"/>
                <w:szCs w:val="20"/>
              </w:rPr>
              <w:t>Bldg</w:t>
            </w:r>
            <w:proofErr w:type="spellEnd"/>
          </w:p>
        </w:tc>
        <w:tc>
          <w:tcPr>
            <w:tcW w:w="96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14:paraId="56B8903D" w14:textId="6C4FAF54" w:rsidR="001C4CBF" w:rsidRPr="00C67A49" w:rsidRDefault="00B801C6" w:rsidP="009175EE">
            <w:pPr>
              <w:rPr>
                <w:rFonts w:cstheme="minorHAnsi"/>
                <w:b/>
                <w:sz w:val="20"/>
                <w:szCs w:val="20"/>
              </w:rPr>
            </w:pPr>
            <w:r w:rsidRPr="00C67A49">
              <w:rPr>
                <w:rFonts w:cstheme="minorHAnsi"/>
                <w:b/>
                <w:sz w:val="20"/>
                <w:szCs w:val="20"/>
              </w:rPr>
              <w:t>Vintage</w:t>
            </w:r>
          </w:p>
        </w:tc>
        <w:tc>
          <w:tcPr>
            <w:tcW w:w="960"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0182695A" w14:textId="77777777" w:rsidR="001C4CBF" w:rsidRPr="00C67A49" w:rsidRDefault="001C4CBF" w:rsidP="009175EE">
            <w:pPr>
              <w:rPr>
                <w:rFonts w:cstheme="minorHAnsi"/>
                <w:b/>
                <w:sz w:val="20"/>
                <w:szCs w:val="20"/>
              </w:rPr>
            </w:pPr>
            <w:r w:rsidRPr="00C67A49">
              <w:rPr>
                <w:rFonts w:cstheme="minorHAnsi"/>
                <w:b/>
                <w:sz w:val="20"/>
                <w:szCs w:val="20"/>
              </w:rPr>
              <w:t>Sum of weights SCE</w:t>
            </w:r>
          </w:p>
        </w:tc>
        <w:tc>
          <w:tcPr>
            <w:tcW w:w="960" w:type="dxa"/>
            <w:tcBorders>
              <w:top w:val="single" w:sz="4" w:space="0" w:color="auto"/>
              <w:left w:val="nil"/>
              <w:bottom w:val="single" w:sz="4" w:space="0" w:color="auto"/>
              <w:right w:val="single" w:sz="4" w:space="0" w:color="auto"/>
            </w:tcBorders>
            <w:shd w:val="clear" w:color="auto" w:fill="D9D9D9" w:themeFill="background1" w:themeFillShade="D9"/>
            <w:vAlign w:val="bottom"/>
            <w:hideMark/>
          </w:tcPr>
          <w:p w14:paraId="03105879" w14:textId="77777777" w:rsidR="001C4CBF" w:rsidRPr="00C67A49" w:rsidRDefault="001C4CBF" w:rsidP="009175EE">
            <w:pPr>
              <w:rPr>
                <w:rFonts w:cstheme="minorHAnsi"/>
                <w:b/>
                <w:sz w:val="20"/>
                <w:szCs w:val="20"/>
              </w:rPr>
            </w:pPr>
            <w:r w:rsidRPr="00C67A49">
              <w:rPr>
                <w:rFonts w:cstheme="minorHAnsi"/>
                <w:b/>
                <w:sz w:val="20"/>
                <w:szCs w:val="20"/>
              </w:rPr>
              <w:t>Sum of weights all IOU</w:t>
            </w:r>
          </w:p>
        </w:tc>
      </w:tr>
      <w:tr w:rsidR="001C4CBF" w:rsidRPr="00C718A3" w14:paraId="279D8E99" w14:textId="77777777" w:rsidTr="00C67A4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213220B" w14:textId="77777777" w:rsidR="001C4CBF" w:rsidRPr="00C67A49" w:rsidRDefault="001C4CBF" w:rsidP="009175EE">
            <w:pPr>
              <w:rPr>
                <w:rFonts w:ascii="Calibri" w:hAnsi="Calibri" w:cs="Calibri"/>
                <w:color w:val="000000"/>
                <w:sz w:val="20"/>
              </w:rPr>
            </w:pPr>
            <w:r w:rsidRPr="00C67A49">
              <w:rPr>
                <w:rFonts w:ascii="Calibri" w:hAnsi="Calibri" w:cs="Calibri"/>
                <w:color w:val="000000"/>
                <w:sz w:val="20"/>
              </w:rPr>
              <w:t>ERC</w:t>
            </w:r>
          </w:p>
        </w:tc>
        <w:tc>
          <w:tcPr>
            <w:tcW w:w="960" w:type="dxa"/>
            <w:tcBorders>
              <w:top w:val="nil"/>
              <w:left w:val="nil"/>
              <w:bottom w:val="single" w:sz="4" w:space="0" w:color="auto"/>
              <w:right w:val="single" w:sz="4" w:space="0" w:color="auto"/>
            </w:tcBorders>
            <w:shd w:val="clear" w:color="auto" w:fill="auto"/>
            <w:noWrap/>
            <w:vAlign w:val="bottom"/>
            <w:hideMark/>
          </w:tcPr>
          <w:p w14:paraId="030DBD97" w14:textId="77777777" w:rsidR="001C4CBF" w:rsidRPr="00C67A49" w:rsidRDefault="001C4CBF" w:rsidP="009175EE">
            <w:pPr>
              <w:jc w:val="right"/>
              <w:rPr>
                <w:rFonts w:ascii="Calibri" w:hAnsi="Calibri" w:cs="Calibri"/>
                <w:color w:val="000000"/>
                <w:sz w:val="20"/>
              </w:rPr>
            </w:pPr>
            <w:r w:rsidRPr="00C67A49">
              <w:rPr>
                <w:rFonts w:ascii="Calibri" w:hAnsi="Calibri" w:cs="Calibri"/>
                <w:color w:val="000000"/>
                <w:sz w:val="20"/>
              </w:rPr>
              <w:t>1996</w:t>
            </w:r>
          </w:p>
        </w:tc>
        <w:tc>
          <w:tcPr>
            <w:tcW w:w="960" w:type="dxa"/>
            <w:tcBorders>
              <w:top w:val="nil"/>
              <w:left w:val="nil"/>
              <w:bottom w:val="single" w:sz="4" w:space="0" w:color="auto"/>
              <w:right w:val="single" w:sz="4" w:space="0" w:color="auto"/>
            </w:tcBorders>
            <w:shd w:val="clear" w:color="auto" w:fill="auto"/>
            <w:noWrap/>
            <w:vAlign w:val="bottom"/>
            <w:hideMark/>
          </w:tcPr>
          <w:p w14:paraId="412F092C" w14:textId="77777777" w:rsidR="001C4CBF" w:rsidRPr="00C67A49" w:rsidRDefault="001C4CBF" w:rsidP="009175EE">
            <w:pPr>
              <w:jc w:val="right"/>
              <w:rPr>
                <w:rFonts w:ascii="Calibri" w:hAnsi="Calibri" w:cs="Calibri"/>
                <w:color w:val="000000"/>
                <w:sz w:val="20"/>
              </w:rPr>
            </w:pPr>
            <w:r w:rsidRPr="00C67A49">
              <w:rPr>
                <w:rFonts w:ascii="Calibri" w:hAnsi="Calibri" w:cs="Calibri"/>
                <w:color w:val="000000"/>
                <w:sz w:val="20"/>
              </w:rPr>
              <w:t>7.22</w:t>
            </w:r>
          </w:p>
        </w:tc>
        <w:tc>
          <w:tcPr>
            <w:tcW w:w="960" w:type="dxa"/>
            <w:tcBorders>
              <w:top w:val="nil"/>
              <w:left w:val="nil"/>
              <w:bottom w:val="single" w:sz="4" w:space="0" w:color="auto"/>
              <w:right w:val="single" w:sz="4" w:space="0" w:color="auto"/>
            </w:tcBorders>
            <w:shd w:val="clear" w:color="auto" w:fill="auto"/>
            <w:noWrap/>
            <w:vAlign w:val="bottom"/>
            <w:hideMark/>
          </w:tcPr>
          <w:p w14:paraId="447FA31F" w14:textId="77777777" w:rsidR="001C4CBF" w:rsidRPr="00C67A49" w:rsidRDefault="001C4CBF" w:rsidP="009175EE">
            <w:pPr>
              <w:jc w:val="right"/>
              <w:rPr>
                <w:rFonts w:ascii="Calibri" w:hAnsi="Calibri" w:cs="Calibri"/>
                <w:color w:val="000000"/>
                <w:sz w:val="20"/>
              </w:rPr>
            </w:pPr>
            <w:r w:rsidRPr="00C67A49">
              <w:rPr>
                <w:rFonts w:ascii="Calibri" w:hAnsi="Calibri" w:cs="Calibri"/>
                <w:color w:val="000000"/>
                <w:sz w:val="20"/>
              </w:rPr>
              <w:t>25.12</w:t>
            </w:r>
          </w:p>
        </w:tc>
      </w:tr>
      <w:tr w:rsidR="001C4CBF" w:rsidRPr="00C718A3" w14:paraId="25BC5498" w14:textId="77777777" w:rsidTr="00C67A4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2743CE7" w14:textId="77777777" w:rsidR="001C4CBF" w:rsidRPr="00C67A49" w:rsidRDefault="001C4CBF" w:rsidP="009175EE">
            <w:pPr>
              <w:rPr>
                <w:rFonts w:ascii="Calibri" w:hAnsi="Calibri" w:cs="Calibri"/>
                <w:color w:val="000000"/>
                <w:sz w:val="20"/>
              </w:rPr>
            </w:pPr>
            <w:r w:rsidRPr="00C67A49">
              <w:rPr>
                <w:rFonts w:ascii="Calibri" w:hAnsi="Calibri" w:cs="Calibri"/>
                <w:color w:val="000000"/>
                <w:sz w:val="20"/>
              </w:rPr>
              <w:t>ERC</w:t>
            </w:r>
          </w:p>
        </w:tc>
        <w:tc>
          <w:tcPr>
            <w:tcW w:w="960" w:type="dxa"/>
            <w:tcBorders>
              <w:top w:val="nil"/>
              <w:left w:val="nil"/>
              <w:bottom w:val="single" w:sz="4" w:space="0" w:color="auto"/>
              <w:right w:val="single" w:sz="4" w:space="0" w:color="auto"/>
            </w:tcBorders>
            <w:shd w:val="clear" w:color="auto" w:fill="auto"/>
            <w:noWrap/>
            <w:vAlign w:val="bottom"/>
            <w:hideMark/>
          </w:tcPr>
          <w:p w14:paraId="20514209" w14:textId="77777777" w:rsidR="001C4CBF" w:rsidRPr="00C67A49" w:rsidRDefault="001C4CBF" w:rsidP="009175EE">
            <w:pPr>
              <w:jc w:val="right"/>
              <w:rPr>
                <w:rFonts w:ascii="Calibri" w:hAnsi="Calibri" w:cs="Calibri"/>
                <w:color w:val="000000"/>
                <w:sz w:val="20"/>
              </w:rPr>
            </w:pPr>
            <w:r w:rsidRPr="00C67A49">
              <w:rPr>
                <w:rFonts w:ascii="Calibri" w:hAnsi="Calibri" w:cs="Calibri"/>
                <w:color w:val="000000"/>
                <w:sz w:val="20"/>
              </w:rPr>
              <w:t>2003</w:t>
            </w:r>
          </w:p>
        </w:tc>
        <w:tc>
          <w:tcPr>
            <w:tcW w:w="960" w:type="dxa"/>
            <w:tcBorders>
              <w:top w:val="nil"/>
              <w:left w:val="nil"/>
              <w:bottom w:val="single" w:sz="4" w:space="0" w:color="auto"/>
              <w:right w:val="single" w:sz="4" w:space="0" w:color="auto"/>
            </w:tcBorders>
            <w:shd w:val="clear" w:color="auto" w:fill="auto"/>
            <w:noWrap/>
            <w:vAlign w:val="bottom"/>
            <w:hideMark/>
          </w:tcPr>
          <w:p w14:paraId="685F1E1F" w14:textId="77777777" w:rsidR="001C4CBF" w:rsidRPr="00C67A49" w:rsidRDefault="001C4CBF" w:rsidP="009175EE">
            <w:pPr>
              <w:jc w:val="right"/>
              <w:rPr>
                <w:rFonts w:ascii="Calibri" w:hAnsi="Calibri" w:cs="Calibri"/>
                <w:color w:val="000000"/>
                <w:sz w:val="20"/>
              </w:rPr>
            </w:pPr>
            <w:r w:rsidRPr="00C67A49">
              <w:rPr>
                <w:rFonts w:ascii="Calibri" w:hAnsi="Calibri" w:cs="Calibri"/>
                <w:color w:val="000000"/>
                <w:sz w:val="20"/>
              </w:rPr>
              <w:t>6.12</w:t>
            </w:r>
          </w:p>
        </w:tc>
        <w:tc>
          <w:tcPr>
            <w:tcW w:w="960" w:type="dxa"/>
            <w:tcBorders>
              <w:top w:val="nil"/>
              <w:left w:val="nil"/>
              <w:bottom w:val="single" w:sz="4" w:space="0" w:color="auto"/>
              <w:right w:val="single" w:sz="4" w:space="0" w:color="auto"/>
            </w:tcBorders>
            <w:shd w:val="clear" w:color="auto" w:fill="auto"/>
            <w:noWrap/>
            <w:vAlign w:val="bottom"/>
            <w:hideMark/>
          </w:tcPr>
          <w:p w14:paraId="241376B6" w14:textId="77777777" w:rsidR="001C4CBF" w:rsidRPr="00C67A49" w:rsidRDefault="001C4CBF" w:rsidP="009175EE">
            <w:pPr>
              <w:jc w:val="right"/>
              <w:rPr>
                <w:rFonts w:ascii="Calibri" w:hAnsi="Calibri" w:cs="Calibri"/>
                <w:color w:val="000000"/>
                <w:sz w:val="20"/>
              </w:rPr>
            </w:pPr>
            <w:r w:rsidRPr="00C67A49">
              <w:rPr>
                <w:rFonts w:ascii="Calibri" w:hAnsi="Calibri" w:cs="Calibri"/>
                <w:color w:val="000000"/>
                <w:sz w:val="20"/>
              </w:rPr>
              <w:t>20.12</w:t>
            </w:r>
          </w:p>
        </w:tc>
      </w:tr>
      <w:tr w:rsidR="001C4CBF" w:rsidRPr="00C718A3" w14:paraId="24DC3C44" w14:textId="77777777" w:rsidTr="00C67A4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450624C2" w14:textId="77777777" w:rsidR="001C4CBF" w:rsidRPr="00C67A49" w:rsidRDefault="001C4CBF" w:rsidP="009175EE">
            <w:pPr>
              <w:rPr>
                <w:rFonts w:ascii="Calibri" w:hAnsi="Calibri" w:cs="Calibri"/>
                <w:color w:val="000000"/>
                <w:sz w:val="20"/>
              </w:rPr>
            </w:pPr>
            <w:r w:rsidRPr="00C67A49">
              <w:rPr>
                <w:rFonts w:ascii="Calibri" w:hAnsi="Calibri" w:cs="Calibri"/>
                <w:color w:val="000000"/>
                <w:sz w:val="20"/>
              </w:rPr>
              <w:t>ERC</w:t>
            </w:r>
          </w:p>
        </w:tc>
        <w:tc>
          <w:tcPr>
            <w:tcW w:w="960" w:type="dxa"/>
            <w:tcBorders>
              <w:top w:val="nil"/>
              <w:left w:val="nil"/>
              <w:bottom w:val="single" w:sz="4" w:space="0" w:color="auto"/>
              <w:right w:val="single" w:sz="4" w:space="0" w:color="auto"/>
            </w:tcBorders>
            <w:shd w:val="clear" w:color="auto" w:fill="auto"/>
            <w:noWrap/>
            <w:vAlign w:val="bottom"/>
            <w:hideMark/>
          </w:tcPr>
          <w:p w14:paraId="17BD02A4" w14:textId="77777777" w:rsidR="001C4CBF" w:rsidRPr="00C67A49" w:rsidRDefault="001C4CBF" w:rsidP="009175EE">
            <w:pPr>
              <w:jc w:val="right"/>
              <w:rPr>
                <w:rFonts w:ascii="Calibri" w:hAnsi="Calibri" w:cs="Calibri"/>
                <w:color w:val="000000"/>
                <w:sz w:val="20"/>
              </w:rPr>
            </w:pPr>
            <w:r w:rsidRPr="00C67A49">
              <w:rPr>
                <w:rFonts w:ascii="Calibri" w:hAnsi="Calibri" w:cs="Calibri"/>
                <w:color w:val="000000"/>
                <w:sz w:val="20"/>
              </w:rPr>
              <w:t>2007</w:t>
            </w:r>
          </w:p>
        </w:tc>
        <w:tc>
          <w:tcPr>
            <w:tcW w:w="960" w:type="dxa"/>
            <w:tcBorders>
              <w:top w:val="nil"/>
              <w:left w:val="nil"/>
              <w:bottom w:val="single" w:sz="4" w:space="0" w:color="auto"/>
              <w:right w:val="single" w:sz="4" w:space="0" w:color="auto"/>
            </w:tcBorders>
            <w:shd w:val="clear" w:color="auto" w:fill="auto"/>
            <w:noWrap/>
            <w:vAlign w:val="bottom"/>
            <w:hideMark/>
          </w:tcPr>
          <w:p w14:paraId="491B1117" w14:textId="77777777" w:rsidR="001C4CBF" w:rsidRPr="00C67A49" w:rsidRDefault="001C4CBF" w:rsidP="009175EE">
            <w:pPr>
              <w:jc w:val="right"/>
              <w:rPr>
                <w:rFonts w:ascii="Calibri" w:hAnsi="Calibri" w:cs="Calibri"/>
                <w:color w:val="000000"/>
                <w:sz w:val="20"/>
              </w:rPr>
            </w:pPr>
            <w:r w:rsidRPr="00C67A49">
              <w:rPr>
                <w:rFonts w:ascii="Calibri" w:hAnsi="Calibri" w:cs="Calibri"/>
                <w:color w:val="000000"/>
                <w:sz w:val="20"/>
              </w:rPr>
              <w:t>1.71</w:t>
            </w:r>
          </w:p>
        </w:tc>
        <w:tc>
          <w:tcPr>
            <w:tcW w:w="960" w:type="dxa"/>
            <w:tcBorders>
              <w:top w:val="nil"/>
              <w:left w:val="nil"/>
              <w:bottom w:val="single" w:sz="4" w:space="0" w:color="auto"/>
              <w:right w:val="single" w:sz="4" w:space="0" w:color="auto"/>
            </w:tcBorders>
            <w:shd w:val="clear" w:color="auto" w:fill="auto"/>
            <w:noWrap/>
            <w:vAlign w:val="bottom"/>
            <w:hideMark/>
          </w:tcPr>
          <w:p w14:paraId="2E6B6C15" w14:textId="77777777" w:rsidR="001C4CBF" w:rsidRPr="00C67A49" w:rsidRDefault="001C4CBF" w:rsidP="009175EE">
            <w:pPr>
              <w:jc w:val="right"/>
              <w:rPr>
                <w:rFonts w:ascii="Calibri" w:hAnsi="Calibri" w:cs="Calibri"/>
                <w:color w:val="000000"/>
                <w:sz w:val="20"/>
              </w:rPr>
            </w:pPr>
            <w:r w:rsidRPr="00C67A49">
              <w:rPr>
                <w:rFonts w:ascii="Calibri" w:hAnsi="Calibri" w:cs="Calibri"/>
                <w:color w:val="000000"/>
                <w:sz w:val="20"/>
              </w:rPr>
              <w:t>5.82</w:t>
            </w:r>
          </w:p>
        </w:tc>
      </w:tr>
      <w:tr w:rsidR="001C4CBF" w:rsidRPr="00C718A3" w14:paraId="56C51640" w14:textId="77777777" w:rsidTr="00C67A4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3000D618" w14:textId="77777777" w:rsidR="001C4CBF" w:rsidRPr="00C67A49" w:rsidRDefault="001C4CBF" w:rsidP="009175EE">
            <w:pPr>
              <w:rPr>
                <w:rFonts w:ascii="Calibri" w:hAnsi="Calibri" w:cs="Calibri"/>
                <w:color w:val="000000"/>
                <w:sz w:val="20"/>
              </w:rPr>
            </w:pPr>
            <w:r w:rsidRPr="00C67A49">
              <w:rPr>
                <w:rFonts w:ascii="Calibri" w:hAnsi="Calibri" w:cs="Calibri"/>
                <w:color w:val="000000"/>
                <w:sz w:val="20"/>
              </w:rPr>
              <w:t>ERC</w:t>
            </w:r>
          </w:p>
        </w:tc>
        <w:tc>
          <w:tcPr>
            <w:tcW w:w="960" w:type="dxa"/>
            <w:tcBorders>
              <w:top w:val="nil"/>
              <w:left w:val="nil"/>
              <w:bottom w:val="single" w:sz="4" w:space="0" w:color="auto"/>
              <w:right w:val="single" w:sz="4" w:space="0" w:color="auto"/>
            </w:tcBorders>
            <w:shd w:val="clear" w:color="auto" w:fill="auto"/>
            <w:noWrap/>
            <w:vAlign w:val="bottom"/>
            <w:hideMark/>
          </w:tcPr>
          <w:p w14:paraId="2B2224F2" w14:textId="77777777" w:rsidR="001C4CBF" w:rsidRPr="00C67A49" w:rsidRDefault="001C4CBF" w:rsidP="009175EE">
            <w:pPr>
              <w:jc w:val="right"/>
              <w:rPr>
                <w:rFonts w:ascii="Calibri" w:hAnsi="Calibri" w:cs="Calibri"/>
                <w:color w:val="000000"/>
                <w:sz w:val="20"/>
              </w:rPr>
            </w:pPr>
            <w:r w:rsidRPr="00C67A49">
              <w:rPr>
                <w:rFonts w:ascii="Calibri" w:hAnsi="Calibri" w:cs="Calibri"/>
                <w:color w:val="000000"/>
                <w:sz w:val="20"/>
              </w:rPr>
              <w:t>2011</w:t>
            </w:r>
          </w:p>
        </w:tc>
        <w:tc>
          <w:tcPr>
            <w:tcW w:w="960" w:type="dxa"/>
            <w:tcBorders>
              <w:top w:val="nil"/>
              <w:left w:val="nil"/>
              <w:bottom w:val="single" w:sz="4" w:space="0" w:color="auto"/>
              <w:right w:val="single" w:sz="4" w:space="0" w:color="auto"/>
            </w:tcBorders>
            <w:shd w:val="clear" w:color="auto" w:fill="auto"/>
            <w:noWrap/>
            <w:vAlign w:val="bottom"/>
            <w:hideMark/>
          </w:tcPr>
          <w:p w14:paraId="57F023AA" w14:textId="77777777" w:rsidR="001C4CBF" w:rsidRPr="00C67A49" w:rsidRDefault="001C4CBF" w:rsidP="009175EE">
            <w:pPr>
              <w:jc w:val="right"/>
              <w:rPr>
                <w:rFonts w:ascii="Calibri" w:hAnsi="Calibri" w:cs="Calibri"/>
                <w:color w:val="000000"/>
                <w:sz w:val="20"/>
              </w:rPr>
            </w:pPr>
            <w:r w:rsidRPr="00C67A49">
              <w:rPr>
                <w:rFonts w:ascii="Calibri" w:hAnsi="Calibri" w:cs="Calibri"/>
                <w:color w:val="000000"/>
                <w:sz w:val="20"/>
              </w:rPr>
              <w:t>1.71</w:t>
            </w:r>
          </w:p>
        </w:tc>
        <w:tc>
          <w:tcPr>
            <w:tcW w:w="960" w:type="dxa"/>
            <w:tcBorders>
              <w:top w:val="nil"/>
              <w:left w:val="nil"/>
              <w:bottom w:val="single" w:sz="4" w:space="0" w:color="auto"/>
              <w:right w:val="single" w:sz="4" w:space="0" w:color="auto"/>
            </w:tcBorders>
            <w:shd w:val="clear" w:color="auto" w:fill="auto"/>
            <w:noWrap/>
            <w:vAlign w:val="bottom"/>
            <w:hideMark/>
          </w:tcPr>
          <w:p w14:paraId="32952319" w14:textId="77777777" w:rsidR="001C4CBF" w:rsidRPr="00C67A49" w:rsidRDefault="001C4CBF" w:rsidP="009175EE">
            <w:pPr>
              <w:jc w:val="right"/>
              <w:rPr>
                <w:rFonts w:ascii="Calibri" w:hAnsi="Calibri" w:cs="Calibri"/>
                <w:color w:val="000000"/>
                <w:sz w:val="20"/>
              </w:rPr>
            </w:pPr>
            <w:r w:rsidRPr="00C67A49">
              <w:rPr>
                <w:rFonts w:ascii="Calibri" w:hAnsi="Calibri" w:cs="Calibri"/>
                <w:color w:val="000000"/>
                <w:sz w:val="20"/>
              </w:rPr>
              <w:t>5.82</w:t>
            </w:r>
          </w:p>
        </w:tc>
      </w:tr>
      <w:tr w:rsidR="001C4CBF" w:rsidRPr="00C718A3" w14:paraId="53920E89" w14:textId="77777777" w:rsidTr="00C67A4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61F36AE4" w14:textId="77777777" w:rsidR="001C4CBF" w:rsidRPr="00C67A49" w:rsidRDefault="001C4CBF" w:rsidP="009175EE">
            <w:pPr>
              <w:rPr>
                <w:rFonts w:ascii="Calibri" w:hAnsi="Calibri" w:cs="Calibri"/>
                <w:color w:val="000000"/>
                <w:sz w:val="20"/>
              </w:rPr>
            </w:pPr>
            <w:r w:rsidRPr="00C67A49">
              <w:rPr>
                <w:rFonts w:ascii="Calibri" w:hAnsi="Calibri" w:cs="Calibri"/>
                <w:color w:val="000000"/>
                <w:sz w:val="20"/>
              </w:rPr>
              <w:t>ERC</w:t>
            </w:r>
          </w:p>
        </w:tc>
        <w:tc>
          <w:tcPr>
            <w:tcW w:w="960" w:type="dxa"/>
            <w:tcBorders>
              <w:top w:val="nil"/>
              <w:left w:val="nil"/>
              <w:bottom w:val="single" w:sz="4" w:space="0" w:color="auto"/>
              <w:right w:val="single" w:sz="4" w:space="0" w:color="auto"/>
            </w:tcBorders>
            <w:shd w:val="clear" w:color="auto" w:fill="auto"/>
            <w:noWrap/>
            <w:vAlign w:val="bottom"/>
            <w:hideMark/>
          </w:tcPr>
          <w:p w14:paraId="52589E45" w14:textId="77777777" w:rsidR="001C4CBF" w:rsidRPr="00C67A49" w:rsidRDefault="001C4CBF" w:rsidP="009175EE">
            <w:pPr>
              <w:jc w:val="right"/>
              <w:rPr>
                <w:rFonts w:ascii="Calibri" w:hAnsi="Calibri" w:cs="Calibri"/>
                <w:color w:val="000000"/>
                <w:sz w:val="20"/>
              </w:rPr>
            </w:pPr>
            <w:r w:rsidRPr="00C67A49">
              <w:rPr>
                <w:rFonts w:ascii="Calibri" w:hAnsi="Calibri" w:cs="Calibri"/>
                <w:color w:val="000000"/>
                <w:sz w:val="20"/>
              </w:rPr>
              <w:t>2014</w:t>
            </w:r>
          </w:p>
        </w:tc>
        <w:tc>
          <w:tcPr>
            <w:tcW w:w="960" w:type="dxa"/>
            <w:tcBorders>
              <w:top w:val="nil"/>
              <w:left w:val="nil"/>
              <w:bottom w:val="single" w:sz="4" w:space="0" w:color="auto"/>
              <w:right w:val="single" w:sz="4" w:space="0" w:color="auto"/>
            </w:tcBorders>
            <w:shd w:val="clear" w:color="auto" w:fill="auto"/>
            <w:noWrap/>
            <w:vAlign w:val="bottom"/>
            <w:hideMark/>
          </w:tcPr>
          <w:p w14:paraId="2CBC970F" w14:textId="77777777" w:rsidR="001C4CBF" w:rsidRPr="00C67A49" w:rsidRDefault="001C4CBF" w:rsidP="009175EE">
            <w:pPr>
              <w:jc w:val="right"/>
              <w:rPr>
                <w:rFonts w:ascii="Calibri" w:hAnsi="Calibri" w:cs="Calibri"/>
                <w:color w:val="000000"/>
                <w:sz w:val="20"/>
              </w:rPr>
            </w:pPr>
            <w:r w:rsidRPr="00C67A49">
              <w:rPr>
                <w:rFonts w:ascii="Calibri" w:hAnsi="Calibri" w:cs="Calibri"/>
                <w:color w:val="000000"/>
                <w:sz w:val="20"/>
              </w:rPr>
              <w:t>0.86</w:t>
            </w:r>
          </w:p>
        </w:tc>
        <w:tc>
          <w:tcPr>
            <w:tcW w:w="960" w:type="dxa"/>
            <w:tcBorders>
              <w:top w:val="nil"/>
              <w:left w:val="nil"/>
              <w:bottom w:val="single" w:sz="4" w:space="0" w:color="auto"/>
              <w:right w:val="single" w:sz="4" w:space="0" w:color="auto"/>
            </w:tcBorders>
            <w:shd w:val="clear" w:color="auto" w:fill="auto"/>
            <w:noWrap/>
            <w:vAlign w:val="bottom"/>
            <w:hideMark/>
          </w:tcPr>
          <w:p w14:paraId="59FBD3B1" w14:textId="77777777" w:rsidR="001C4CBF" w:rsidRPr="00C67A49" w:rsidRDefault="001C4CBF" w:rsidP="009175EE">
            <w:pPr>
              <w:jc w:val="right"/>
              <w:rPr>
                <w:rFonts w:ascii="Calibri" w:hAnsi="Calibri" w:cs="Calibri"/>
                <w:color w:val="000000"/>
                <w:sz w:val="20"/>
              </w:rPr>
            </w:pPr>
            <w:r w:rsidRPr="00C67A49">
              <w:rPr>
                <w:rFonts w:ascii="Calibri" w:hAnsi="Calibri" w:cs="Calibri"/>
                <w:color w:val="000000"/>
                <w:sz w:val="20"/>
              </w:rPr>
              <w:t>2.91</w:t>
            </w:r>
          </w:p>
        </w:tc>
      </w:tr>
    </w:tbl>
    <w:p w14:paraId="63FCDCA6" w14:textId="77777777" w:rsidR="001C4CBF" w:rsidRPr="00C67A49" w:rsidRDefault="001C4CBF">
      <w:pPr>
        <w:rPr>
          <w:rFonts w:cstheme="minorHAnsi"/>
          <w:szCs w:val="22"/>
        </w:rPr>
      </w:pPr>
    </w:p>
    <w:p w14:paraId="1322196B" w14:textId="7BAC9B2B" w:rsidR="003E3BB7" w:rsidRPr="003E3BB7" w:rsidRDefault="003E3BB7" w:rsidP="00D56D2C">
      <w:pPr>
        <w:pStyle w:val="ListParagraph"/>
        <w:numPr>
          <w:ilvl w:val="0"/>
          <w:numId w:val="6"/>
        </w:numPr>
        <w:rPr>
          <w:rFonts w:cstheme="minorHAnsi"/>
        </w:rPr>
      </w:pPr>
      <w:r w:rsidRPr="003E3BB7">
        <w:rPr>
          <w:rFonts w:cstheme="minorHAnsi"/>
          <w:szCs w:val="22"/>
        </w:rPr>
        <w:t xml:space="preserve">The downloaded prototypes </w:t>
      </w:r>
      <w:r w:rsidR="004F7002">
        <w:rPr>
          <w:rFonts w:cstheme="minorHAnsi"/>
          <w:szCs w:val="22"/>
        </w:rPr>
        <w:t>were</w:t>
      </w:r>
      <w:r w:rsidRPr="003E3BB7">
        <w:rPr>
          <w:rFonts w:cstheme="minorHAnsi"/>
          <w:szCs w:val="22"/>
        </w:rPr>
        <w:t xml:space="preserve"> input into </w:t>
      </w:r>
      <w:proofErr w:type="spellStart"/>
      <w:r w:rsidRPr="003E3BB7">
        <w:rPr>
          <w:rFonts w:cstheme="minorHAnsi"/>
          <w:szCs w:val="22"/>
        </w:rPr>
        <w:t>eQuest</w:t>
      </w:r>
      <w:proofErr w:type="spellEnd"/>
      <w:r w:rsidRPr="003E3BB7">
        <w:rPr>
          <w:rFonts w:cstheme="minorHAnsi"/>
          <w:szCs w:val="22"/>
        </w:rPr>
        <w:t xml:space="preserve"> version 3-65 and then simulated. To beg</w:t>
      </w:r>
      <w:r w:rsidR="0062628D">
        <w:rPr>
          <w:rFonts w:cstheme="minorHAnsi"/>
          <w:szCs w:val="22"/>
        </w:rPr>
        <w:t>in</w:t>
      </w:r>
      <w:r w:rsidRPr="003E3BB7">
        <w:rPr>
          <w:rFonts w:cstheme="minorHAnsi"/>
          <w:szCs w:val="22"/>
        </w:rPr>
        <w:t xml:space="preserve">, the prototypes for all (16) climate zones </w:t>
      </w:r>
      <w:r w:rsidR="004F7002">
        <w:rPr>
          <w:rFonts w:cstheme="minorHAnsi"/>
          <w:szCs w:val="22"/>
        </w:rPr>
        <w:t>were</w:t>
      </w:r>
      <w:r w:rsidR="004F7002" w:rsidRPr="003E3BB7">
        <w:rPr>
          <w:rFonts w:cstheme="minorHAnsi"/>
          <w:szCs w:val="22"/>
        </w:rPr>
        <w:t xml:space="preserve"> </w:t>
      </w:r>
      <w:r w:rsidRPr="003E3BB7">
        <w:rPr>
          <w:rFonts w:cstheme="minorHAnsi"/>
          <w:szCs w:val="22"/>
        </w:rPr>
        <w:t xml:space="preserve">run for building type ERC for HVAC Type AC and HP. This was done using batch processing. The output from batch processing </w:t>
      </w:r>
      <w:r w:rsidR="004F7002">
        <w:rPr>
          <w:rFonts w:cstheme="minorHAnsi"/>
          <w:szCs w:val="22"/>
        </w:rPr>
        <w:t xml:space="preserve">was used as </w:t>
      </w:r>
      <w:r w:rsidRPr="003E3BB7">
        <w:rPr>
          <w:rFonts w:cstheme="minorHAnsi"/>
          <w:szCs w:val="22"/>
        </w:rPr>
        <w:t xml:space="preserve">the baseline energy usage and DEER peak demand for each climate zone. Please note that in </w:t>
      </w:r>
      <w:r>
        <w:t xml:space="preserve">DEER prototypes, the electric rates are set-up with $1 per kWh for the DEER peak period of each climate zone and $0 for the reaming hours. Hence, the electric utility charges from the batch processing output file is the kW during the (9) DEER peak hours. Dividing this by 9 provides the </w:t>
      </w:r>
      <w:r w:rsidR="002674C4">
        <w:t xml:space="preserve">average </w:t>
      </w:r>
      <w:r>
        <w:t xml:space="preserve">DEER peak usage for each climate zone. </w:t>
      </w:r>
    </w:p>
    <w:p w14:paraId="4622D76E" w14:textId="0C21ED67" w:rsidR="00D34411" w:rsidRDefault="003E3BB7" w:rsidP="00D56D2C">
      <w:pPr>
        <w:pStyle w:val="ListParagraph"/>
        <w:numPr>
          <w:ilvl w:val="0"/>
          <w:numId w:val="6"/>
        </w:numPr>
        <w:rPr>
          <w:rFonts w:cstheme="minorHAnsi"/>
          <w:szCs w:val="22"/>
        </w:rPr>
      </w:pPr>
      <w:r w:rsidRPr="00BD18C6">
        <w:rPr>
          <w:rFonts w:cstheme="minorHAnsi"/>
          <w:szCs w:val="22"/>
        </w:rPr>
        <w:t xml:space="preserve">For the </w:t>
      </w:r>
      <w:r w:rsidR="00693D2C">
        <w:rPr>
          <w:rFonts w:cstheme="minorHAnsi"/>
          <w:szCs w:val="22"/>
        </w:rPr>
        <w:t>measure case</w:t>
      </w:r>
      <w:r w:rsidR="00693D2C" w:rsidRPr="00BD18C6">
        <w:rPr>
          <w:rFonts w:cstheme="minorHAnsi"/>
          <w:szCs w:val="22"/>
        </w:rPr>
        <w:t xml:space="preserve"> </w:t>
      </w:r>
      <w:r w:rsidRPr="00BD18C6">
        <w:rPr>
          <w:rFonts w:cstheme="minorHAnsi"/>
          <w:szCs w:val="22"/>
        </w:rPr>
        <w:t xml:space="preserve">energy usage, the thermostat cooling and heating set points are setback </w:t>
      </w:r>
      <w:r w:rsidR="00876CF5" w:rsidRPr="00BD18C6">
        <w:rPr>
          <w:rFonts w:cstheme="minorHAnsi"/>
          <w:szCs w:val="22"/>
        </w:rPr>
        <w:t>to unoccupied</w:t>
      </w:r>
      <w:r w:rsidR="007C0CFC" w:rsidRPr="00BD18C6">
        <w:rPr>
          <w:rFonts w:cstheme="minorHAnsi"/>
          <w:szCs w:val="22"/>
        </w:rPr>
        <w:t xml:space="preserve"> mode, 86 </w:t>
      </w:r>
      <w:proofErr w:type="spellStart"/>
      <w:r w:rsidR="007C0CFC" w:rsidRPr="004C02CD">
        <w:rPr>
          <w:rFonts w:cstheme="minorHAnsi"/>
          <w:szCs w:val="22"/>
          <w:vertAlign w:val="superscript"/>
        </w:rPr>
        <w:t>o</w:t>
      </w:r>
      <w:r w:rsidR="007C0CFC" w:rsidRPr="00BD18C6">
        <w:rPr>
          <w:rFonts w:cstheme="minorHAnsi"/>
          <w:szCs w:val="22"/>
        </w:rPr>
        <w:t>F</w:t>
      </w:r>
      <w:proofErr w:type="spellEnd"/>
      <w:r w:rsidR="007C0CFC" w:rsidRPr="00BD18C6">
        <w:rPr>
          <w:rFonts w:cstheme="minorHAnsi"/>
          <w:szCs w:val="22"/>
        </w:rPr>
        <w:t xml:space="preserve"> for cooling and 62 </w:t>
      </w:r>
      <w:proofErr w:type="spellStart"/>
      <w:r w:rsidR="007C0CFC" w:rsidRPr="00BD18C6">
        <w:rPr>
          <w:rFonts w:cstheme="minorHAnsi"/>
          <w:szCs w:val="22"/>
          <w:vertAlign w:val="superscript"/>
        </w:rPr>
        <w:t>o</w:t>
      </w:r>
      <w:r w:rsidR="007C0CFC" w:rsidRPr="00BD18C6">
        <w:rPr>
          <w:rFonts w:cstheme="minorHAnsi"/>
          <w:szCs w:val="22"/>
        </w:rPr>
        <w:t>F</w:t>
      </w:r>
      <w:proofErr w:type="spellEnd"/>
      <w:r w:rsidR="007C0CFC" w:rsidRPr="00BD18C6">
        <w:rPr>
          <w:rFonts w:cstheme="minorHAnsi"/>
          <w:szCs w:val="22"/>
        </w:rPr>
        <w:t xml:space="preserve"> for heating, </w:t>
      </w:r>
      <w:r w:rsidR="00876CF5" w:rsidRPr="00BD18C6">
        <w:rPr>
          <w:rFonts w:cstheme="minorHAnsi"/>
          <w:szCs w:val="22"/>
        </w:rPr>
        <w:t xml:space="preserve">for the hours described below. </w:t>
      </w:r>
      <w:r w:rsidR="007C0CFC" w:rsidRPr="00C67A49">
        <w:rPr>
          <w:rFonts w:cstheme="minorHAnsi"/>
          <w:szCs w:val="22"/>
        </w:rPr>
        <w:t xml:space="preserve">When implemented, the setback will happen when there is no occupancy sensed </w:t>
      </w:r>
      <w:r w:rsidR="00D34411" w:rsidRPr="00C67A49">
        <w:rPr>
          <w:rFonts w:cstheme="minorHAnsi"/>
          <w:szCs w:val="22"/>
        </w:rPr>
        <w:t>like</w:t>
      </w:r>
      <w:r w:rsidR="007C0CFC" w:rsidRPr="00C67A49">
        <w:rPr>
          <w:rFonts w:cstheme="minorHAnsi"/>
          <w:szCs w:val="22"/>
        </w:rPr>
        <w:t xml:space="preserve"> lighting occupancy sensors. This could happen anytime </w:t>
      </w:r>
      <w:r w:rsidR="00D34411" w:rsidRPr="00C67A49">
        <w:rPr>
          <w:rFonts w:cstheme="minorHAnsi"/>
          <w:szCs w:val="22"/>
        </w:rPr>
        <w:t>during the</w:t>
      </w:r>
      <w:r w:rsidR="007C0CFC" w:rsidRPr="00C67A49">
        <w:rPr>
          <w:rFonts w:cstheme="minorHAnsi"/>
          <w:szCs w:val="22"/>
        </w:rPr>
        <w:t xml:space="preserve"> classroom hours. </w:t>
      </w:r>
      <w:r w:rsidR="00D34411" w:rsidRPr="00C67A49">
        <w:rPr>
          <w:rFonts w:cstheme="minorHAnsi"/>
          <w:szCs w:val="22"/>
        </w:rPr>
        <w:t xml:space="preserve">However, in </w:t>
      </w:r>
      <w:proofErr w:type="spellStart"/>
      <w:r w:rsidR="00D34411" w:rsidRPr="00C67A49">
        <w:rPr>
          <w:rFonts w:cstheme="minorHAnsi"/>
          <w:szCs w:val="22"/>
        </w:rPr>
        <w:t>eQuest</w:t>
      </w:r>
      <w:proofErr w:type="spellEnd"/>
      <w:r w:rsidR="00D34411" w:rsidRPr="00C67A49">
        <w:rPr>
          <w:rFonts w:cstheme="minorHAnsi"/>
          <w:szCs w:val="22"/>
        </w:rPr>
        <w:t xml:space="preserve">, the minimum interval at which the thermostat settings can be changed is only hourly. Hence, it is assumed that on average, the setbacks happen for two hours on weekdays and four hours on Saturday towards the closing hours of the classroom when the occupancy factor is less than or equal to 0.5. The table below summarizes the setback schedules. </w:t>
      </w:r>
    </w:p>
    <w:p w14:paraId="0C9D2CFD" w14:textId="5A579DFB" w:rsidR="008A412F" w:rsidRDefault="008A412F" w:rsidP="008A412F">
      <w:pPr>
        <w:rPr>
          <w:rFonts w:cstheme="minorHAnsi"/>
          <w:szCs w:val="22"/>
        </w:rPr>
      </w:pPr>
    </w:p>
    <w:p w14:paraId="6E547B3A" w14:textId="5C24F1F0" w:rsidR="008A412F" w:rsidRDefault="008A412F" w:rsidP="008A412F">
      <w:pPr>
        <w:rPr>
          <w:rFonts w:cstheme="minorHAnsi"/>
          <w:szCs w:val="22"/>
        </w:rPr>
      </w:pPr>
    </w:p>
    <w:p w14:paraId="10627422" w14:textId="40D2FFD6" w:rsidR="008A412F" w:rsidRDefault="008A412F" w:rsidP="008A412F">
      <w:pPr>
        <w:rPr>
          <w:rFonts w:cstheme="minorHAnsi"/>
          <w:szCs w:val="22"/>
        </w:rPr>
      </w:pPr>
    </w:p>
    <w:p w14:paraId="79AD9852" w14:textId="13B96AFE" w:rsidR="0009480C" w:rsidRDefault="0009480C" w:rsidP="008A412F">
      <w:pPr>
        <w:rPr>
          <w:rFonts w:cstheme="minorHAnsi"/>
          <w:szCs w:val="22"/>
        </w:rPr>
      </w:pPr>
    </w:p>
    <w:p w14:paraId="4B4A46A6" w14:textId="7B8526DE" w:rsidR="0009480C" w:rsidRDefault="0009480C" w:rsidP="008A412F">
      <w:pPr>
        <w:rPr>
          <w:rFonts w:cstheme="minorHAnsi"/>
          <w:szCs w:val="22"/>
        </w:rPr>
      </w:pPr>
    </w:p>
    <w:p w14:paraId="3E310750" w14:textId="79F25ADB" w:rsidR="0009480C" w:rsidRDefault="0009480C" w:rsidP="008A412F">
      <w:pPr>
        <w:rPr>
          <w:rFonts w:cstheme="minorHAnsi"/>
          <w:szCs w:val="22"/>
        </w:rPr>
      </w:pPr>
    </w:p>
    <w:p w14:paraId="619478BF" w14:textId="77777777" w:rsidR="0009480C" w:rsidRPr="008A412F" w:rsidRDefault="0009480C" w:rsidP="008A412F">
      <w:pPr>
        <w:rPr>
          <w:rFonts w:cstheme="minorHAnsi"/>
          <w:szCs w:val="22"/>
        </w:rPr>
      </w:pPr>
    </w:p>
    <w:p w14:paraId="2BB5D47E" w14:textId="21EA7126" w:rsidR="00876CF5" w:rsidRDefault="00876CF5" w:rsidP="00C67A49">
      <w:pPr>
        <w:pStyle w:val="ListParagraph"/>
        <w:rPr>
          <w:rFonts w:cstheme="minorHAnsi"/>
          <w:szCs w:val="22"/>
        </w:rPr>
      </w:pPr>
    </w:p>
    <w:tbl>
      <w:tblPr>
        <w:tblStyle w:val="TableGrid"/>
        <w:tblW w:w="0" w:type="auto"/>
        <w:jc w:val="center"/>
        <w:tblLook w:val="04A0" w:firstRow="1" w:lastRow="0" w:firstColumn="1" w:lastColumn="0" w:noHBand="0" w:noVBand="1"/>
      </w:tblPr>
      <w:tblGrid>
        <w:gridCol w:w="1368"/>
        <w:gridCol w:w="2790"/>
        <w:gridCol w:w="1193"/>
        <w:gridCol w:w="3112"/>
      </w:tblGrid>
      <w:tr w:rsidR="007C0CFC" w14:paraId="2B2F1F92" w14:textId="222D5971" w:rsidTr="00C67A49">
        <w:trPr>
          <w:jc w:val="center"/>
        </w:trPr>
        <w:tc>
          <w:tcPr>
            <w:tcW w:w="1368" w:type="dxa"/>
            <w:shd w:val="clear" w:color="auto" w:fill="D9D9D9" w:themeFill="background1" w:themeFillShade="D9"/>
          </w:tcPr>
          <w:p w14:paraId="4100C5AE" w14:textId="3295ECA4" w:rsidR="007C0CFC" w:rsidRPr="00C67A49" w:rsidRDefault="007C0CFC" w:rsidP="00876CF5">
            <w:pPr>
              <w:pStyle w:val="ListParagraph"/>
              <w:ind w:left="0"/>
              <w:rPr>
                <w:rFonts w:cstheme="minorHAnsi"/>
                <w:b/>
                <w:sz w:val="20"/>
                <w:szCs w:val="20"/>
              </w:rPr>
            </w:pPr>
            <w:r w:rsidRPr="00C67A49">
              <w:rPr>
                <w:rFonts w:cstheme="minorHAnsi"/>
                <w:b/>
                <w:sz w:val="20"/>
                <w:szCs w:val="20"/>
              </w:rPr>
              <w:t>Building Type</w:t>
            </w:r>
          </w:p>
        </w:tc>
        <w:tc>
          <w:tcPr>
            <w:tcW w:w="2790" w:type="dxa"/>
            <w:shd w:val="clear" w:color="auto" w:fill="D9D9D9" w:themeFill="background1" w:themeFillShade="D9"/>
          </w:tcPr>
          <w:p w14:paraId="57833257" w14:textId="5FECE132" w:rsidR="007C0CFC" w:rsidRPr="00C67A49" w:rsidRDefault="007C0CFC" w:rsidP="00876CF5">
            <w:pPr>
              <w:pStyle w:val="ListParagraph"/>
              <w:ind w:left="0"/>
              <w:rPr>
                <w:rFonts w:cstheme="minorHAnsi"/>
                <w:b/>
                <w:sz w:val="20"/>
                <w:szCs w:val="20"/>
              </w:rPr>
            </w:pPr>
            <w:r w:rsidRPr="00C67A49">
              <w:rPr>
                <w:rFonts w:cstheme="minorHAnsi"/>
                <w:b/>
                <w:sz w:val="20"/>
                <w:szCs w:val="20"/>
              </w:rPr>
              <w:t xml:space="preserve">Setback Hours </w:t>
            </w:r>
          </w:p>
        </w:tc>
        <w:tc>
          <w:tcPr>
            <w:tcW w:w="1193" w:type="dxa"/>
            <w:shd w:val="clear" w:color="auto" w:fill="D9D9D9" w:themeFill="background1" w:themeFillShade="D9"/>
          </w:tcPr>
          <w:p w14:paraId="5F2F0DBE" w14:textId="79B9D2C2" w:rsidR="007C0CFC" w:rsidRPr="00C67A49" w:rsidRDefault="007C0CFC" w:rsidP="00876CF5">
            <w:pPr>
              <w:pStyle w:val="ListParagraph"/>
              <w:ind w:left="0"/>
              <w:rPr>
                <w:rFonts w:cstheme="minorHAnsi"/>
                <w:b/>
                <w:sz w:val="20"/>
                <w:szCs w:val="20"/>
              </w:rPr>
            </w:pPr>
            <w:r w:rsidRPr="00C67A49">
              <w:rPr>
                <w:rFonts w:cstheme="minorHAnsi"/>
                <w:b/>
                <w:sz w:val="20"/>
                <w:szCs w:val="20"/>
              </w:rPr>
              <w:t>Occupancy Factor</w:t>
            </w:r>
          </w:p>
        </w:tc>
        <w:tc>
          <w:tcPr>
            <w:tcW w:w="3112" w:type="dxa"/>
            <w:shd w:val="clear" w:color="auto" w:fill="D9D9D9" w:themeFill="background1" w:themeFillShade="D9"/>
          </w:tcPr>
          <w:p w14:paraId="40CD0251" w14:textId="37DC8626" w:rsidR="007C0CFC" w:rsidRPr="00C67A49" w:rsidRDefault="00D34411" w:rsidP="00876CF5">
            <w:pPr>
              <w:pStyle w:val="ListParagraph"/>
              <w:ind w:left="0"/>
              <w:rPr>
                <w:rFonts w:cstheme="minorHAnsi"/>
                <w:b/>
                <w:sz w:val="20"/>
                <w:szCs w:val="20"/>
              </w:rPr>
            </w:pPr>
            <w:r w:rsidRPr="00C67A49">
              <w:rPr>
                <w:rFonts w:cstheme="minorHAnsi"/>
                <w:b/>
                <w:sz w:val="20"/>
                <w:szCs w:val="20"/>
              </w:rPr>
              <w:t>Schedule name in DEER Prototype</w:t>
            </w:r>
          </w:p>
        </w:tc>
      </w:tr>
      <w:tr w:rsidR="007C0CFC" w14:paraId="72E7D8F0" w14:textId="13DEB518" w:rsidTr="00C67A49">
        <w:trPr>
          <w:jc w:val="center"/>
        </w:trPr>
        <w:tc>
          <w:tcPr>
            <w:tcW w:w="1368" w:type="dxa"/>
            <w:vMerge w:val="restart"/>
          </w:tcPr>
          <w:p w14:paraId="49DAECF2" w14:textId="3BEBB7F5" w:rsidR="007C0CFC" w:rsidRDefault="007C0CFC" w:rsidP="00876CF5">
            <w:pPr>
              <w:pStyle w:val="ListParagraph"/>
              <w:ind w:left="0"/>
              <w:rPr>
                <w:rFonts w:cstheme="minorHAnsi"/>
                <w:szCs w:val="22"/>
              </w:rPr>
            </w:pPr>
            <w:r>
              <w:rPr>
                <w:rFonts w:cstheme="minorHAnsi"/>
                <w:szCs w:val="22"/>
              </w:rPr>
              <w:t>ERC</w:t>
            </w:r>
          </w:p>
        </w:tc>
        <w:tc>
          <w:tcPr>
            <w:tcW w:w="2790" w:type="dxa"/>
          </w:tcPr>
          <w:p w14:paraId="75EA843E" w14:textId="45C77F7C" w:rsidR="007C0CFC" w:rsidRDefault="007C0CFC">
            <w:pPr>
              <w:pStyle w:val="ListParagraph"/>
              <w:ind w:left="0"/>
              <w:rPr>
                <w:rFonts w:cstheme="minorHAnsi"/>
                <w:szCs w:val="22"/>
              </w:rPr>
            </w:pPr>
            <w:r>
              <w:rPr>
                <w:rFonts w:cstheme="minorHAnsi"/>
                <w:szCs w:val="22"/>
              </w:rPr>
              <w:t>Monday to Friday: 2PM to 4PM (close hour)</w:t>
            </w:r>
          </w:p>
        </w:tc>
        <w:tc>
          <w:tcPr>
            <w:tcW w:w="1193" w:type="dxa"/>
          </w:tcPr>
          <w:p w14:paraId="40E02B3F" w14:textId="3E8A2581" w:rsidR="007C0CFC" w:rsidRDefault="007C0CFC" w:rsidP="00876CF5">
            <w:pPr>
              <w:pStyle w:val="ListParagraph"/>
              <w:ind w:left="0"/>
              <w:rPr>
                <w:rFonts w:cstheme="minorHAnsi"/>
                <w:szCs w:val="22"/>
              </w:rPr>
            </w:pPr>
            <w:r>
              <w:rPr>
                <w:rFonts w:cstheme="minorHAnsi"/>
                <w:szCs w:val="22"/>
              </w:rPr>
              <w:t>0.5</w:t>
            </w:r>
          </w:p>
        </w:tc>
        <w:tc>
          <w:tcPr>
            <w:tcW w:w="3112" w:type="dxa"/>
          </w:tcPr>
          <w:p w14:paraId="22D51B20" w14:textId="77777777" w:rsidR="007C0CFC" w:rsidRDefault="00D34411" w:rsidP="00876CF5">
            <w:pPr>
              <w:pStyle w:val="ListParagraph"/>
              <w:ind w:left="0"/>
              <w:rPr>
                <w:rFonts w:cstheme="minorHAnsi"/>
                <w:szCs w:val="22"/>
              </w:rPr>
            </w:pPr>
            <w:r w:rsidRPr="00D34411">
              <w:rPr>
                <w:rFonts w:cstheme="minorHAnsi"/>
                <w:szCs w:val="22"/>
              </w:rPr>
              <w:t>S1 Sys1 (PVVT) Cool S2 WD</w:t>
            </w:r>
          </w:p>
          <w:p w14:paraId="61D62120" w14:textId="653B34C3" w:rsidR="00D34411" w:rsidRDefault="00D34411" w:rsidP="00876CF5">
            <w:pPr>
              <w:pStyle w:val="ListParagraph"/>
              <w:ind w:left="0"/>
              <w:rPr>
                <w:rFonts w:cstheme="minorHAnsi"/>
                <w:szCs w:val="22"/>
              </w:rPr>
            </w:pPr>
            <w:r w:rsidRPr="00D34411">
              <w:rPr>
                <w:rFonts w:cstheme="minorHAnsi"/>
                <w:szCs w:val="22"/>
              </w:rPr>
              <w:t>S1 Sys1 (PVVT) Heat S2 WD</w:t>
            </w:r>
          </w:p>
        </w:tc>
      </w:tr>
      <w:tr w:rsidR="007C0CFC" w14:paraId="513E0390" w14:textId="6EC1A66F" w:rsidTr="00C67A49">
        <w:trPr>
          <w:jc w:val="center"/>
        </w:trPr>
        <w:tc>
          <w:tcPr>
            <w:tcW w:w="1368" w:type="dxa"/>
            <w:vMerge/>
          </w:tcPr>
          <w:p w14:paraId="437A7336" w14:textId="77777777" w:rsidR="007C0CFC" w:rsidRDefault="007C0CFC" w:rsidP="00876CF5">
            <w:pPr>
              <w:pStyle w:val="ListParagraph"/>
              <w:ind w:left="0"/>
              <w:rPr>
                <w:rFonts w:cstheme="minorHAnsi"/>
                <w:szCs w:val="22"/>
              </w:rPr>
            </w:pPr>
          </w:p>
        </w:tc>
        <w:tc>
          <w:tcPr>
            <w:tcW w:w="2790" w:type="dxa"/>
          </w:tcPr>
          <w:p w14:paraId="3CDBAE8E" w14:textId="5BEFC4CC" w:rsidR="007C0CFC" w:rsidRDefault="007C0CFC" w:rsidP="00876CF5">
            <w:pPr>
              <w:pStyle w:val="ListParagraph"/>
              <w:ind w:left="0"/>
              <w:rPr>
                <w:rFonts w:cstheme="minorHAnsi"/>
                <w:szCs w:val="22"/>
              </w:rPr>
            </w:pPr>
            <w:r>
              <w:rPr>
                <w:rFonts w:cstheme="minorHAnsi"/>
                <w:szCs w:val="22"/>
              </w:rPr>
              <w:t>Saturday: Noon to 4PM (close hour)</w:t>
            </w:r>
          </w:p>
        </w:tc>
        <w:tc>
          <w:tcPr>
            <w:tcW w:w="1193" w:type="dxa"/>
          </w:tcPr>
          <w:p w14:paraId="52C456AD" w14:textId="3ED0B6ED" w:rsidR="007C0CFC" w:rsidRDefault="007C0CFC" w:rsidP="00876CF5">
            <w:pPr>
              <w:pStyle w:val="ListParagraph"/>
              <w:ind w:left="0"/>
              <w:rPr>
                <w:rFonts w:cstheme="minorHAnsi"/>
                <w:szCs w:val="22"/>
              </w:rPr>
            </w:pPr>
            <w:r>
              <w:rPr>
                <w:rFonts w:cstheme="minorHAnsi"/>
                <w:szCs w:val="22"/>
              </w:rPr>
              <w:t>0.3</w:t>
            </w:r>
          </w:p>
        </w:tc>
        <w:tc>
          <w:tcPr>
            <w:tcW w:w="3112" w:type="dxa"/>
          </w:tcPr>
          <w:p w14:paraId="00300767" w14:textId="1D829B50" w:rsidR="00D34411" w:rsidRDefault="00D34411" w:rsidP="00D34411">
            <w:pPr>
              <w:pStyle w:val="ListParagraph"/>
              <w:ind w:left="0"/>
              <w:rPr>
                <w:rFonts w:cstheme="minorHAnsi"/>
                <w:szCs w:val="22"/>
              </w:rPr>
            </w:pPr>
            <w:r w:rsidRPr="00D34411">
              <w:rPr>
                <w:rFonts w:cstheme="minorHAnsi"/>
                <w:szCs w:val="22"/>
              </w:rPr>
              <w:t xml:space="preserve">S1 Sys1 (PVVT) Cool S2 </w:t>
            </w:r>
            <w:r>
              <w:rPr>
                <w:rFonts w:cstheme="minorHAnsi"/>
                <w:szCs w:val="22"/>
              </w:rPr>
              <w:t>Sat</w:t>
            </w:r>
          </w:p>
          <w:p w14:paraId="161ADA0D" w14:textId="64B94A48" w:rsidR="007C0CFC" w:rsidRDefault="00D34411" w:rsidP="00D34411">
            <w:pPr>
              <w:pStyle w:val="ListParagraph"/>
              <w:ind w:left="0"/>
              <w:rPr>
                <w:rFonts w:cstheme="minorHAnsi"/>
                <w:szCs w:val="22"/>
              </w:rPr>
            </w:pPr>
            <w:r w:rsidRPr="00D34411">
              <w:rPr>
                <w:rFonts w:cstheme="minorHAnsi"/>
                <w:szCs w:val="22"/>
              </w:rPr>
              <w:t xml:space="preserve">S1 Sys1 (PVVT) Heat S2 </w:t>
            </w:r>
            <w:r>
              <w:rPr>
                <w:rFonts w:cstheme="minorHAnsi"/>
                <w:szCs w:val="22"/>
              </w:rPr>
              <w:t>Sat</w:t>
            </w:r>
          </w:p>
        </w:tc>
      </w:tr>
      <w:tr w:rsidR="00D34411" w14:paraId="40D9A059" w14:textId="1F2BE397" w:rsidTr="00C67A49">
        <w:trPr>
          <w:jc w:val="center"/>
        </w:trPr>
        <w:tc>
          <w:tcPr>
            <w:tcW w:w="1368" w:type="dxa"/>
            <w:vMerge w:val="restart"/>
          </w:tcPr>
          <w:p w14:paraId="531B878C" w14:textId="5F783772" w:rsidR="00D34411" w:rsidRDefault="00D34411" w:rsidP="00876CF5">
            <w:pPr>
              <w:pStyle w:val="ListParagraph"/>
              <w:ind w:left="0"/>
              <w:rPr>
                <w:rFonts w:cstheme="minorHAnsi"/>
                <w:szCs w:val="22"/>
              </w:rPr>
            </w:pPr>
            <w:r>
              <w:rPr>
                <w:rFonts w:cstheme="minorHAnsi"/>
                <w:szCs w:val="22"/>
              </w:rPr>
              <w:t xml:space="preserve">Ese and </w:t>
            </w:r>
            <w:proofErr w:type="spellStart"/>
            <w:r>
              <w:rPr>
                <w:rFonts w:cstheme="minorHAnsi"/>
                <w:szCs w:val="22"/>
              </w:rPr>
              <w:t>EPr</w:t>
            </w:r>
            <w:proofErr w:type="spellEnd"/>
          </w:p>
        </w:tc>
        <w:tc>
          <w:tcPr>
            <w:tcW w:w="2790" w:type="dxa"/>
          </w:tcPr>
          <w:p w14:paraId="4BA41FFF" w14:textId="6CBB6F84" w:rsidR="00D34411" w:rsidRDefault="00D34411" w:rsidP="00876CF5">
            <w:pPr>
              <w:pStyle w:val="ListParagraph"/>
              <w:ind w:left="0"/>
              <w:rPr>
                <w:rFonts w:cstheme="minorHAnsi"/>
                <w:szCs w:val="22"/>
              </w:rPr>
            </w:pPr>
            <w:r>
              <w:rPr>
                <w:rFonts w:cstheme="minorHAnsi"/>
                <w:szCs w:val="22"/>
              </w:rPr>
              <w:t>Monday to Friday: 5PM to 7PM (close hour)</w:t>
            </w:r>
          </w:p>
        </w:tc>
        <w:tc>
          <w:tcPr>
            <w:tcW w:w="1193" w:type="dxa"/>
          </w:tcPr>
          <w:p w14:paraId="726C53D9" w14:textId="2C822E33" w:rsidR="00D34411" w:rsidRDefault="00D34411" w:rsidP="00876CF5">
            <w:pPr>
              <w:pStyle w:val="ListParagraph"/>
              <w:ind w:left="0"/>
              <w:rPr>
                <w:rFonts w:cstheme="minorHAnsi"/>
                <w:szCs w:val="22"/>
              </w:rPr>
            </w:pPr>
            <w:r>
              <w:rPr>
                <w:rFonts w:cstheme="minorHAnsi"/>
                <w:szCs w:val="22"/>
              </w:rPr>
              <w:t>0.5</w:t>
            </w:r>
          </w:p>
        </w:tc>
        <w:tc>
          <w:tcPr>
            <w:tcW w:w="3112" w:type="dxa"/>
          </w:tcPr>
          <w:p w14:paraId="745C7410" w14:textId="77777777" w:rsidR="00D34411" w:rsidRDefault="00D34411" w:rsidP="00D34411">
            <w:pPr>
              <w:pStyle w:val="ListParagraph"/>
              <w:ind w:left="0"/>
              <w:rPr>
                <w:rFonts w:cstheme="minorHAnsi"/>
                <w:szCs w:val="22"/>
              </w:rPr>
            </w:pPr>
            <w:r w:rsidRPr="00D34411">
              <w:rPr>
                <w:rFonts w:cstheme="minorHAnsi"/>
                <w:szCs w:val="22"/>
              </w:rPr>
              <w:t>S1 Sys1 (PVVT) Cool S2 WD</w:t>
            </w:r>
          </w:p>
          <w:p w14:paraId="71C6DA8A" w14:textId="19DD8466" w:rsidR="00D34411" w:rsidRDefault="00D34411" w:rsidP="00D34411">
            <w:pPr>
              <w:pStyle w:val="ListParagraph"/>
              <w:ind w:left="0"/>
              <w:rPr>
                <w:rFonts w:cstheme="minorHAnsi"/>
                <w:szCs w:val="22"/>
              </w:rPr>
            </w:pPr>
            <w:r w:rsidRPr="00D34411">
              <w:rPr>
                <w:rFonts w:cstheme="minorHAnsi"/>
                <w:szCs w:val="22"/>
              </w:rPr>
              <w:t>S1 Sys1 (PVVT) Heat S2 WD</w:t>
            </w:r>
          </w:p>
        </w:tc>
      </w:tr>
      <w:tr w:rsidR="00D34411" w14:paraId="7CB24D09" w14:textId="77777777" w:rsidTr="00C67A49">
        <w:trPr>
          <w:jc w:val="center"/>
        </w:trPr>
        <w:tc>
          <w:tcPr>
            <w:tcW w:w="1368" w:type="dxa"/>
            <w:vMerge/>
          </w:tcPr>
          <w:p w14:paraId="371F4BB7" w14:textId="77777777" w:rsidR="00D34411" w:rsidRDefault="00D34411" w:rsidP="00876CF5">
            <w:pPr>
              <w:pStyle w:val="ListParagraph"/>
              <w:ind w:left="0"/>
              <w:rPr>
                <w:rFonts w:cstheme="minorHAnsi"/>
                <w:szCs w:val="22"/>
              </w:rPr>
            </w:pPr>
          </w:p>
        </w:tc>
        <w:tc>
          <w:tcPr>
            <w:tcW w:w="2790" w:type="dxa"/>
          </w:tcPr>
          <w:p w14:paraId="46A8761C" w14:textId="4B145FD4" w:rsidR="00D34411" w:rsidRDefault="00D34411" w:rsidP="00876CF5">
            <w:pPr>
              <w:pStyle w:val="ListParagraph"/>
              <w:ind w:left="0"/>
              <w:rPr>
                <w:rFonts w:cstheme="minorHAnsi"/>
                <w:szCs w:val="22"/>
              </w:rPr>
            </w:pPr>
            <w:r>
              <w:rPr>
                <w:rFonts w:cstheme="minorHAnsi"/>
                <w:szCs w:val="22"/>
              </w:rPr>
              <w:t>Saturday: 1PM to 5PM (close hour)</w:t>
            </w:r>
          </w:p>
        </w:tc>
        <w:tc>
          <w:tcPr>
            <w:tcW w:w="1193" w:type="dxa"/>
          </w:tcPr>
          <w:p w14:paraId="47C7E6B7" w14:textId="0514F382" w:rsidR="00D34411" w:rsidRDefault="00D34411" w:rsidP="00876CF5">
            <w:pPr>
              <w:pStyle w:val="ListParagraph"/>
              <w:ind w:left="0"/>
              <w:rPr>
                <w:rFonts w:cstheme="minorHAnsi"/>
                <w:szCs w:val="22"/>
              </w:rPr>
            </w:pPr>
            <w:r>
              <w:rPr>
                <w:rFonts w:cstheme="minorHAnsi"/>
                <w:szCs w:val="22"/>
              </w:rPr>
              <w:t>0.3</w:t>
            </w:r>
          </w:p>
        </w:tc>
        <w:tc>
          <w:tcPr>
            <w:tcW w:w="3112" w:type="dxa"/>
          </w:tcPr>
          <w:p w14:paraId="260B25E7" w14:textId="77777777" w:rsidR="00D34411" w:rsidRDefault="00D34411" w:rsidP="00D34411">
            <w:pPr>
              <w:pStyle w:val="ListParagraph"/>
              <w:ind w:left="0"/>
              <w:rPr>
                <w:rFonts w:cstheme="minorHAnsi"/>
                <w:szCs w:val="22"/>
              </w:rPr>
            </w:pPr>
            <w:r w:rsidRPr="00D34411">
              <w:rPr>
                <w:rFonts w:cstheme="minorHAnsi"/>
                <w:szCs w:val="22"/>
              </w:rPr>
              <w:t xml:space="preserve">S1 Sys1 (PVVT) Cool S2 </w:t>
            </w:r>
            <w:r>
              <w:rPr>
                <w:rFonts w:cstheme="minorHAnsi"/>
                <w:szCs w:val="22"/>
              </w:rPr>
              <w:t>Sat</w:t>
            </w:r>
          </w:p>
          <w:p w14:paraId="5AEACC73" w14:textId="14B9E4F0" w:rsidR="00D34411" w:rsidRDefault="00D34411" w:rsidP="00D34411">
            <w:pPr>
              <w:pStyle w:val="ListParagraph"/>
              <w:ind w:left="0"/>
              <w:rPr>
                <w:rFonts w:cstheme="minorHAnsi"/>
                <w:szCs w:val="22"/>
              </w:rPr>
            </w:pPr>
            <w:r w:rsidRPr="00D34411">
              <w:rPr>
                <w:rFonts w:cstheme="minorHAnsi"/>
                <w:szCs w:val="22"/>
              </w:rPr>
              <w:t xml:space="preserve">S1 Sys1 (PVVT) Heat S2 </w:t>
            </w:r>
            <w:r>
              <w:rPr>
                <w:rFonts w:cstheme="minorHAnsi"/>
                <w:szCs w:val="22"/>
              </w:rPr>
              <w:t>Sat</w:t>
            </w:r>
          </w:p>
        </w:tc>
      </w:tr>
    </w:tbl>
    <w:p w14:paraId="3A0381B7" w14:textId="2BBB73F4" w:rsidR="00876CF5" w:rsidRDefault="00876CF5" w:rsidP="00C67A49">
      <w:pPr>
        <w:pStyle w:val="ListParagraph"/>
        <w:rPr>
          <w:rFonts w:cstheme="minorHAnsi"/>
          <w:szCs w:val="22"/>
        </w:rPr>
      </w:pPr>
    </w:p>
    <w:p w14:paraId="59930CB2" w14:textId="43388D57" w:rsidR="00BD18C6" w:rsidRDefault="00BD18C6" w:rsidP="00D56D2C">
      <w:pPr>
        <w:pStyle w:val="ListParagraph"/>
        <w:numPr>
          <w:ilvl w:val="0"/>
          <w:numId w:val="6"/>
        </w:numPr>
        <w:rPr>
          <w:rFonts w:cstheme="minorHAnsi"/>
          <w:szCs w:val="22"/>
        </w:rPr>
      </w:pPr>
      <w:r>
        <w:rPr>
          <w:rFonts w:cstheme="minorHAnsi"/>
          <w:szCs w:val="22"/>
        </w:rPr>
        <w:t xml:space="preserve">After the thermostats settings are modified as explained above, batch processing is run on these prototypes to determine the </w:t>
      </w:r>
      <w:r w:rsidR="00693D2C">
        <w:rPr>
          <w:rFonts w:cstheme="minorHAnsi"/>
          <w:szCs w:val="22"/>
        </w:rPr>
        <w:t xml:space="preserve">measure case </w:t>
      </w:r>
      <w:r>
        <w:rPr>
          <w:rFonts w:cstheme="minorHAnsi"/>
          <w:szCs w:val="22"/>
        </w:rPr>
        <w:t xml:space="preserve">energy usage and DEER peak demand. </w:t>
      </w:r>
    </w:p>
    <w:p w14:paraId="713696FE" w14:textId="04D3FD4E" w:rsidR="00004FAC" w:rsidRDefault="00BD18C6" w:rsidP="00D56D2C">
      <w:pPr>
        <w:pStyle w:val="ListParagraph"/>
        <w:numPr>
          <w:ilvl w:val="0"/>
          <w:numId w:val="6"/>
        </w:numPr>
        <w:rPr>
          <w:rFonts w:cstheme="minorHAnsi"/>
          <w:szCs w:val="22"/>
        </w:rPr>
      </w:pPr>
      <w:r>
        <w:rPr>
          <w:rFonts w:cstheme="minorHAnsi"/>
          <w:szCs w:val="22"/>
        </w:rPr>
        <w:t xml:space="preserve">The difference </w:t>
      </w:r>
      <w:r w:rsidR="00004FAC">
        <w:rPr>
          <w:rFonts w:cstheme="minorHAnsi"/>
          <w:szCs w:val="22"/>
        </w:rPr>
        <w:t>between</w:t>
      </w:r>
      <w:r>
        <w:rPr>
          <w:rFonts w:cstheme="minorHAnsi"/>
          <w:szCs w:val="22"/>
        </w:rPr>
        <w:t xml:space="preserve"> the base</w:t>
      </w:r>
      <w:r w:rsidR="00693D2C">
        <w:rPr>
          <w:rFonts w:cstheme="minorHAnsi"/>
          <w:szCs w:val="22"/>
        </w:rPr>
        <w:t xml:space="preserve"> case</w:t>
      </w:r>
      <w:r>
        <w:rPr>
          <w:rFonts w:cstheme="minorHAnsi"/>
          <w:szCs w:val="22"/>
        </w:rPr>
        <w:t xml:space="preserve"> and </w:t>
      </w:r>
      <w:r w:rsidR="00693D2C">
        <w:rPr>
          <w:rFonts w:cstheme="minorHAnsi"/>
          <w:szCs w:val="22"/>
        </w:rPr>
        <w:t xml:space="preserve">measure case </w:t>
      </w:r>
      <w:r>
        <w:rPr>
          <w:rFonts w:cstheme="minorHAnsi"/>
          <w:szCs w:val="22"/>
        </w:rPr>
        <w:t xml:space="preserve">energy usage and DEER </w:t>
      </w:r>
      <w:r w:rsidR="00004FAC">
        <w:rPr>
          <w:rFonts w:cstheme="minorHAnsi"/>
          <w:szCs w:val="22"/>
        </w:rPr>
        <w:t xml:space="preserve">peak demand are the end and demand savings respectively. </w:t>
      </w:r>
    </w:p>
    <w:p w14:paraId="7A562E6A" w14:textId="309C4529" w:rsidR="00BD18C6" w:rsidRDefault="00004FAC" w:rsidP="00D56D2C">
      <w:pPr>
        <w:pStyle w:val="ListParagraph"/>
        <w:numPr>
          <w:ilvl w:val="0"/>
          <w:numId w:val="6"/>
        </w:numPr>
        <w:rPr>
          <w:rFonts w:cstheme="minorHAnsi"/>
          <w:szCs w:val="22"/>
        </w:rPr>
      </w:pPr>
      <w:r>
        <w:rPr>
          <w:rFonts w:cstheme="minorHAnsi"/>
          <w:szCs w:val="22"/>
        </w:rPr>
        <w:t xml:space="preserve">The savings are normalized per </w:t>
      </w:r>
      <w:r w:rsidR="00016C63">
        <w:rPr>
          <w:rFonts w:cstheme="minorHAnsi"/>
          <w:szCs w:val="22"/>
        </w:rPr>
        <w:t xml:space="preserve">rated </w:t>
      </w:r>
      <w:r>
        <w:rPr>
          <w:rFonts w:cstheme="minorHAnsi"/>
          <w:szCs w:val="22"/>
        </w:rPr>
        <w:t>ton</w:t>
      </w:r>
      <w:r w:rsidR="00016C63">
        <w:rPr>
          <w:rFonts w:cstheme="minorHAnsi"/>
          <w:szCs w:val="22"/>
        </w:rPr>
        <w:t xml:space="preserve"> of HVAC</w:t>
      </w:r>
      <w:r w:rsidR="004778E4">
        <w:rPr>
          <w:rFonts w:cstheme="minorHAnsi"/>
          <w:szCs w:val="22"/>
        </w:rPr>
        <w:t xml:space="preserve"> capacity</w:t>
      </w:r>
      <w:r>
        <w:rPr>
          <w:rFonts w:cstheme="minorHAnsi"/>
          <w:szCs w:val="22"/>
        </w:rPr>
        <w:t xml:space="preserve">. The total tonnage of the units, (2) units in ERC building, is determined from </w:t>
      </w:r>
      <w:r w:rsidRPr="00C67A49">
        <w:rPr>
          <w:rFonts w:cstheme="minorHAnsi"/>
          <w:szCs w:val="22"/>
        </w:rPr>
        <w:t>REPORT- SV-A</w:t>
      </w:r>
      <w:r>
        <w:rPr>
          <w:rFonts w:cstheme="minorHAnsi"/>
          <w:szCs w:val="22"/>
        </w:rPr>
        <w:t xml:space="preserve"> of the .SIM files for each of the climate zone. </w:t>
      </w:r>
      <w:r w:rsidR="00E7090A">
        <w:rPr>
          <w:rFonts w:cstheme="minorHAnsi"/>
          <w:szCs w:val="22"/>
        </w:rPr>
        <w:t xml:space="preserve">Please </w:t>
      </w:r>
      <w:r w:rsidR="00A73071">
        <w:rPr>
          <w:rFonts w:cstheme="minorHAnsi"/>
          <w:szCs w:val="22"/>
        </w:rPr>
        <w:t>refer</w:t>
      </w:r>
      <w:r w:rsidR="00E7090A">
        <w:rPr>
          <w:rFonts w:cstheme="minorHAnsi"/>
          <w:szCs w:val="22"/>
        </w:rPr>
        <w:t xml:space="preserve"> to </w:t>
      </w:r>
      <w:r w:rsidR="00E7090A" w:rsidRPr="008A412F">
        <w:rPr>
          <w:rFonts w:cstheme="minorHAnsi"/>
          <w:szCs w:val="22"/>
        </w:rPr>
        <w:t>Attachment#</w:t>
      </w:r>
      <w:r w:rsidR="008A412F" w:rsidRPr="008A412F">
        <w:rPr>
          <w:rFonts w:cstheme="minorHAnsi"/>
          <w:szCs w:val="22"/>
        </w:rPr>
        <w:t>2</w:t>
      </w:r>
      <w:r w:rsidR="00C67A49">
        <w:rPr>
          <w:rFonts w:cstheme="minorHAnsi"/>
          <w:szCs w:val="22"/>
        </w:rPr>
        <w:t xml:space="preserve"> for calculations described above and </w:t>
      </w:r>
      <w:r w:rsidR="00C67A49" w:rsidRPr="008A412F">
        <w:rPr>
          <w:rFonts w:cstheme="minorHAnsi"/>
          <w:szCs w:val="22"/>
        </w:rPr>
        <w:t>Attachment#</w:t>
      </w:r>
      <w:r w:rsidR="008A412F" w:rsidRPr="008A412F">
        <w:rPr>
          <w:rFonts w:cstheme="minorHAnsi"/>
          <w:szCs w:val="22"/>
        </w:rPr>
        <w:t>4</w:t>
      </w:r>
      <w:r w:rsidR="008A412F">
        <w:rPr>
          <w:rFonts w:cstheme="minorHAnsi"/>
          <w:szCs w:val="22"/>
        </w:rPr>
        <w:t xml:space="preserve"> </w:t>
      </w:r>
      <w:r w:rsidR="00C67A49">
        <w:rPr>
          <w:rFonts w:cstheme="minorHAnsi"/>
          <w:szCs w:val="22"/>
        </w:rPr>
        <w:t xml:space="preserve">for the required </w:t>
      </w:r>
      <w:proofErr w:type="spellStart"/>
      <w:r w:rsidR="00C67A49">
        <w:rPr>
          <w:rFonts w:cstheme="minorHAnsi"/>
          <w:szCs w:val="22"/>
        </w:rPr>
        <w:t>eQuest</w:t>
      </w:r>
      <w:proofErr w:type="spellEnd"/>
      <w:r w:rsidR="00C67A49">
        <w:rPr>
          <w:rFonts w:cstheme="minorHAnsi"/>
          <w:szCs w:val="22"/>
        </w:rPr>
        <w:t xml:space="preserve"> models. </w:t>
      </w:r>
    </w:p>
    <w:p w14:paraId="0B663F81" w14:textId="209E213A" w:rsidR="00004FAC" w:rsidRPr="00AE3DD5" w:rsidRDefault="00004FAC" w:rsidP="00D56D2C">
      <w:pPr>
        <w:pStyle w:val="ListParagraph"/>
        <w:numPr>
          <w:ilvl w:val="0"/>
          <w:numId w:val="6"/>
        </w:numPr>
        <w:rPr>
          <w:rFonts w:cstheme="minorHAnsi"/>
          <w:szCs w:val="22"/>
        </w:rPr>
      </w:pPr>
      <w:r w:rsidRPr="00AE3DD5">
        <w:rPr>
          <w:rFonts w:cstheme="minorHAnsi"/>
          <w:szCs w:val="22"/>
        </w:rPr>
        <w:t xml:space="preserve">To determine the savings for other building types, </w:t>
      </w:r>
      <w:proofErr w:type="spellStart"/>
      <w:r w:rsidRPr="00AE3DD5">
        <w:rPr>
          <w:rFonts w:cstheme="minorHAnsi"/>
          <w:szCs w:val="22"/>
        </w:rPr>
        <w:t>EPr</w:t>
      </w:r>
      <w:proofErr w:type="spellEnd"/>
      <w:r w:rsidRPr="00AE3DD5">
        <w:rPr>
          <w:rFonts w:cstheme="minorHAnsi"/>
          <w:szCs w:val="22"/>
        </w:rPr>
        <w:t xml:space="preserve"> a</w:t>
      </w:r>
      <w:r w:rsidR="008A412F" w:rsidRPr="00AE3DD5">
        <w:rPr>
          <w:rFonts w:cstheme="minorHAnsi"/>
          <w:szCs w:val="22"/>
        </w:rPr>
        <w:t xml:space="preserve">nd </w:t>
      </w:r>
      <w:proofErr w:type="spellStart"/>
      <w:proofErr w:type="gramStart"/>
      <w:r w:rsidR="008A412F" w:rsidRPr="00AE3DD5">
        <w:rPr>
          <w:rFonts w:cstheme="minorHAnsi"/>
          <w:szCs w:val="22"/>
        </w:rPr>
        <w:t>ESe</w:t>
      </w:r>
      <w:proofErr w:type="spellEnd"/>
      <w:proofErr w:type="gramEnd"/>
      <w:r w:rsidR="008A412F" w:rsidRPr="00AE3DD5">
        <w:rPr>
          <w:rFonts w:cstheme="minorHAnsi"/>
          <w:szCs w:val="22"/>
        </w:rPr>
        <w:t>, the electric savings, for climate zones 08 and 09 are</w:t>
      </w:r>
      <w:r w:rsidRPr="00AE3DD5">
        <w:rPr>
          <w:rFonts w:cstheme="minorHAnsi"/>
          <w:szCs w:val="22"/>
        </w:rPr>
        <w:t xml:space="preserve"> compared with ERC and it is observed that the kWh savings/ton </w:t>
      </w:r>
      <w:r w:rsidR="008A412F" w:rsidRPr="00AE3DD5">
        <w:rPr>
          <w:rFonts w:cstheme="minorHAnsi"/>
          <w:szCs w:val="22"/>
        </w:rPr>
        <w:t>for AC and Heat Pump are with-in 8% coefficient of variation (</w:t>
      </w:r>
      <w:proofErr w:type="spellStart"/>
      <w:r w:rsidR="008A412F" w:rsidRPr="00AE3DD5">
        <w:rPr>
          <w:rFonts w:cstheme="minorHAnsi"/>
          <w:szCs w:val="22"/>
        </w:rPr>
        <w:t>Cv</w:t>
      </w:r>
      <w:proofErr w:type="spellEnd"/>
      <w:r w:rsidR="008A412F" w:rsidRPr="00AE3DD5">
        <w:rPr>
          <w:rFonts w:cstheme="minorHAnsi"/>
          <w:szCs w:val="22"/>
        </w:rPr>
        <w:t xml:space="preserve">). </w:t>
      </w:r>
      <w:r w:rsidR="006476F1" w:rsidRPr="00AE3DD5">
        <w:rPr>
          <w:rFonts w:cstheme="minorHAnsi"/>
          <w:szCs w:val="22"/>
        </w:rPr>
        <w:t>Therefore</w:t>
      </w:r>
      <w:r w:rsidR="00145F84" w:rsidRPr="00AE3DD5">
        <w:rPr>
          <w:rFonts w:cstheme="minorHAnsi"/>
          <w:szCs w:val="22"/>
        </w:rPr>
        <w:t xml:space="preserve">, it is assumed that kWh savings/ ton </w:t>
      </w:r>
      <w:r w:rsidR="006476F1" w:rsidRPr="00AE3DD5">
        <w:rPr>
          <w:rFonts w:cstheme="minorHAnsi"/>
          <w:szCs w:val="22"/>
        </w:rPr>
        <w:t>is similar</w:t>
      </w:r>
      <w:r w:rsidR="00145F84" w:rsidRPr="00AE3DD5">
        <w:rPr>
          <w:rFonts w:cstheme="minorHAnsi"/>
          <w:szCs w:val="22"/>
        </w:rPr>
        <w:t xml:space="preserve"> for the three building types in this work paper. </w:t>
      </w:r>
      <w:r w:rsidR="00AE3DD5" w:rsidRPr="00AE3DD5">
        <w:rPr>
          <w:rFonts w:cstheme="minorHAnsi"/>
          <w:szCs w:val="22"/>
        </w:rPr>
        <w:t xml:space="preserve">Climate Zones 08 and 09 are selected for this comparison as these climates zones have relatively high weights for </w:t>
      </w:r>
      <w:r w:rsidR="00A52DC6">
        <w:rPr>
          <w:rFonts w:cstheme="minorHAnsi"/>
          <w:szCs w:val="22"/>
        </w:rPr>
        <w:t xml:space="preserve">ERC, </w:t>
      </w:r>
      <w:proofErr w:type="spellStart"/>
      <w:r w:rsidR="00A52DC6">
        <w:rPr>
          <w:rFonts w:cstheme="minorHAnsi"/>
          <w:szCs w:val="22"/>
        </w:rPr>
        <w:t>EPr</w:t>
      </w:r>
      <w:proofErr w:type="spellEnd"/>
      <w:r w:rsidR="00A52DC6">
        <w:rPr>
          <w:rFonts w:cstheme="minorHAnsi"/>
          <w:szCs w:val="22"/>
        </w:rPr>
        <w:t xml:space="preserve"> and </w:t>
      </w:r>
      <w:proofErr w:type="spellStart"/>
      <w:proofErr w:type="gramStart"/>
      <w:r w:rsidR="00A52DC6">
        <w:rPr>
          <w:rFonts w:cstheme="minorHAnsi"/>
          <w:szCs w:val="22"/>
        </w:rPr>
        <w:t>ESe</w:t>
      </w:r>
      <w:proofErr w:type="spellEnd"/>
      <w:proofErr w:type="gramEnd"/>
      <w:r w:rsidR="00A52DC6">
        <w:rPr>
          <w:rFonts w:cstheme="minorHAnsi"/>
          <w:szCs w:val="22"/>
        </w:rPr>
        <w:t xml:space="preserve"> building types, </w:t>
      </w:r>
      <w:r w:rsidR="00AE3DD5" w:rsidRPr="00AE3DD5">
        <w:rPr>
          <w:rFonts w:cstheme="minorHAnsi"/>
          <w:szCs w:val="22"/>
        </w:rPr>
        <w:t>referring to DEER2014 weights for commercial buildings.</w:t>
      </w:r>
      <w:r w:rsidR="00AE3DD5">
        <w:rPr>
          <w:rFonts w:cstheme="minorHAnsi"/>
          <w:szCs w:val="22"/>
        </w:rPr>
        <w:t xml:space="preserve"> </w:t>
      </w:r>
      <w:r w:rsidR="00AE3DD5" w:rsidRPr="00AE3DD5">
        <w:rPr>
          <w:rFonts w:cstheme="minorHAnsi"/>
          <w:szCs w:val="22"/>
        </w:rPr>
        <w:t>Please refer to Attachment#3 for the savings comparison analysis.</w:t>
      </w:r>
    </w:p>
    <w:p w14:paraId="4F8418C2" w14:textId="37221302" w:rsidR="00876CF5" w:rsidRDefault="00876CF5" w:rsidP="00C67A49">
      <w:pPr>
        <w:pStyle w:val="ListParagraph"/>
        <w:rPr>
          <w:rFonts w:cstheme="minorHAnsi"/>
          <w:szCs w:val="22"/>
        </w:rPr>
      </w:pPr>
    </w:p>
    <w:p w14:paraId="5A0EA82B" w14:textId="77777777" w:rsidR="007E17A5" w:rsidRPr="00500C4E" w:rsidRDefault="007E17A5" w:rsidP="007E17A5">
      <w:pPr>
        <w:pStyle w:val="Heading1"/>
        <w:keepNext w:val="0"/>
        <w:rPr>
          <w:rFonts w:cstheme="minorHAnsi"/>
        </w:rPr>
      </w:pPr>
      <w:r>
        <w:rPr>
          <w:rFonts w:cstheme="minorHAnsi"/>
        </w:rPr>
        <w:t>Secti</w:t>
      </w:r>
      <w:r w:rsidRPr="00500C4E">
        <w:rPr>
          <w:rFonts w:cstheme="minorHAnsi"/>
        </w:rPr>
        <w:t>on 3</w:t>
      </w:r>
      <w:r>
        <w:rPr>
          <w:rFonts w:cstheme="minorHAnsi"/>
        </w:rPr>
        <w:t>.</w:t>
      </w:r>
      <w:r w:rsidRPr="00500C4E">
        <w:rPr>
          <w:rFonts w:cstheme="minorHAnsi"/>
        </w:rPr>
        <w:t xml:space="preserve"> Load Shapes</w:t>
      </w:r>
    </w:p>
    <w:p w14:paraId="7449CD6E" w14:textId="02291972" w:rsidR="000173BF"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C74F46">
        <w:rPr>
          <w:rFonts w:cstheme="minorHAnsi"/>
          <w:szCs w:val="22"/>
        </w:rPr>
        <w:t xml:space="preserve">listed in </w:t>
      </w:r>
      <w:r w:rsidR="00BD7F18">
        <w:rPr>
          <w:rFonts w:cstheme="minorHAnsi"/>
          <w:szCs w:val="22"/>
        </w:rPr>
        <w:t>the table</w:t>
      </w:r>
      <w:r w:rsidR="00C74F46">
        <w:rPr>
          <w:rFonts w:cstheme="minorHAnsi"/>
          <w:szCs w:val="22"/>
        </w:rPr>
        <w:t xml:space="preserve"> </w:t>
      </w:r>
      <w:r w:rsidR="000173BF" w:rsidRPr="00500C4E">
        <w:rPr>
          <w:rFonts w:cstheme="minorHAnsi"/>
          <w:szCs w:val="22"/>
        </w:rPr>
        <w:t>below.</w:t>
      </w:r>
    </w:p>
    <w:p w14:paraId="1BD655A8" w14:textId="77777777" w:rsidR="00C74F46" w:rsidRPr="00500C4E" w:rsidRDefault="00C74F46" w:rsidP="00E16609">
      <w:pPr>
        <w:rPr>
          <w:rFonts w:cstheme="minorHAnsi"/>
          <w:szCs w:val="22"/>
        </w:rPr>
      </w:pPr>
    </w:p>
    <w:p w14:paraId="4E5AEDD2" w14:textId="6875CCF8" w:rsidR="00E16609" w:rsidRPr="00500C4E" w:rsidRDefault="00C74F46" w:rsidP="00C74F46">
      <w:pPr>
        <w:pStyle w:val="Caption"/>
        <w:rPr>
          <w:rFonts w:cstheme="minorHAnsi"/>
          <w:b w:val="0"/>
          <w:szCs w:val="22"/>
        </w:rPr>
      </w:pPr>
      <w:r>
        <w:rPr>
          <w:rFonts w:cstheme="minorHAnsi"/>
          <w:szCs w:val="22"/>
        </w:rPr>
        <w:t>B</w:t>
      </w:r>
      <w:r w:rsidR="002A3D26" w:rsidRPr="00500C4E">
        <w:rPr>
          <w:rFonts w:cstheme="minorHAnsi"/>
          <w:szCs w:val="22"/>
        </w:rPr>
        <w:t>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920905">
        <w:tc>
          <w:tcPr>
            <w:tcW w:w="1686" w:type="pct"/>
            <w:shd w:val="clear" w:color="auto" w:fill="D9D9D9" w:themeFill="background1" w:themeFillShade="D9"/>
          </w:tcPr>
          <w:p w14:paraId="11626AAF" w14:textId="77777777" w:rsidR="00263C1C" w:rsidRPr="00920905" w:rsidRDefault="00263C1C" w:rsidP="00BA2E7E">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BA2E7E">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894AD2" w:rsidRPr="00500C4E" w14:paraId="3D341893" w14:textId="77777777" w:rsidTr="00290A99">
        <w:tc>
          <w:tcPr>
            <w:tcW w:w="1686" w:type="pct"/>
          </w:tcPr>
          <w:p w14:paraId="4FA2FF6D" w14:textId="20889D09" w:rsidR="00894AD2" w:rsidRPr="00920905" w:rsidRDefault="00894AD2" w:rsidP="00894AD2">
            <w:pPr>
              <w:rPr>
                <w:rFonts w:cstheme="minorHAnsi"/>
                <w:color w:val="FF0000"/>
                <w:szCs w:val="20"/>
              </w:rPr>
            </w:pPr>
            <w:r w:rsidRPr="003F2FEE">
              <w:rPr>
                <w:rFonts w:cstheme="minorHAnsi"/>
                <w:szCs w:val="20"/>
              </w:rPr>
              <w:t>Education – Primary School</w:t>
            </w:r>
          </w:p>
        </w:tc>
        <w:tc>
          <w:tcPr>
            <w:tcW w:w="1779" w:type="pct"/>
            <w:vAlign w:val="bottom"/>
          </w:tcPr>
          <w:p w14:paraId="3B2DCD1E" w14:textId="500AE730" w:rsidR="00894AD2" w:rsidRPr="00894AD2" w:rsidRDefault="00894AD2" w:rsidP="00894AD2">
            <w:pPr>
              <w:rPr>
                <w:rFonts w:cstheme="minorHAnsi"/>
                <w:szCs w:val="20"/>
              </w:rPr>
            </w:pPr>
            <w:r w:rsidRPr="00894AD2">
              <w:rPr>
                <w:rFonts w:cstheme="minorHAnsi"/>
                <w:szCs w:val="20"/>
              </w:rPr>
              <w:t>Occupancy Sensor</w:t>
            </w:r>
          </w:p>
        </w:tc>
        <w:tc>
          <w:tcPr>
            <w:tcW w:w="1535" w:type="pct"/>
            <w:vAlign w:val="bottom"/>
          </w:tcPr>
          <w:p w14:paraId="6722CD8A" w14:textId="4304EA26" w:rsidR="00894AD2" w:rsidRPr="00894AD2" w:rsidRDefault="00894AD2" w:rsidP="00894AD2">
            <w:pPr>
              <w:rPr>
                <w:rFonts w:cstheme="minorHAnsi"/>
                <w:szCs w:val="20"/>
              </w:rPr>
            </w:pPr>
            <w:r w:rsidRPr="00894AD2">
              <w:rPr>
                <w:rFonts w:cstheme="minorHAnsi"/>
                <w:szCs w:val="20"/>
              </w:rPr>
              <w:t>K_thru_12_School</w:t>
            </w:r>
          </w:p>
        </w:tc>
      </w:tr>
      <w:tr w:rsidR="00894AD2" w:rsidRPr="00500C4E" w14:paraId="1FB64A38" w14:textId="77777777" w:rsidTr="00290A99">
        <w:tc>
          <w:tcPr>
            <w:tcW w:w="1686" w:type="pct"/>
          </w:tcPr>
          <w:p w14:paraId="129F9965" w14:textId="12F826DE" w:rsidR="00894AD2" w:rsidRPr="00920905" w:rsidRDefault="00894AD2" w:rsidP="00894AD2">
            <w:pPr>
              <w:rPr>
                <w:rFonts w:cstheme="minorHAnsi"/>
                <w:color w:val="FF0000"/>
                <w:szCs w:val="20"/>
              </w:rPr>
            </w:pPr>
            <w:r w:rsidRPr="003F2FEE">
              <w:rPr>
                <w:rFonts w:cstheme="minorHAnsi"/>
                <w:szCs w:val="20"/>
              </w:rPr>
              <w:t>Education – Secondary School</w:t>
            </w:r>
          </w:p>
        </w:tc>
        <w:tc>
          <w:tcPr>
            <w:tcW w:w="1779" w:type="pct"/>
            <w:vAlign w:val="bottom"/>
          </w:tcPr>
          <w:p w14:paraId="0FCC70F1" w14:textId="29F369C4" w:rsidR="00894AD2" w:rsidRPr="00894AD2" w:rsidRDefault="00894AD2" w:rsidP="00894AD2">
            <w:pPr>
              <w:rPr>
                <w:rFonts w:cstheme="minorHAnsi"/>
                <w:szCs w:val="20"/>
              </w:rPr>
            </w:pPr>
            <w:r w:rsidRPr="00894AD2">
              <w:rPr>
                <w:rFonts w:cstheme="minorHAnsi"/>
                <w:szCs w:val="20"/>
              </w:rPr>
              <w:t>Occupancy Sensor</w:t>
            </w:r>
          </w:p>
        </w:tc>
        <w:tc>
          <w:tcPr>
            <w:tcW w:w="1535" w:type="pct"/>
            <w:vAlign w:val="bottom"/>
          </w:tcPr>
          <w:p w14:paraId="31157856" w14:textId="05221BA3" w:rsidR="00894AD2" w:rsidRPr="00894AD2" w:rsidRDefault="00894AD2" w:rsidP="00894AD2">
            <w:pPr>
              <w:rPr>
                <w:rFonts w:cstheme="minorHAnsi"/>
                <w:szCs w:val="20"/>
              </w:rPr>
            </w:pPr>
            <w:r w:rsidRPr="00894AD2">
              <w:rPr>
                <w:rFonts w:cstheme="minorHAnsi"/>
                <w:szCs w:val="20"/>
              </w:rPr>
              <w:t>K_thru_12_School</w:t>
            </w:r>
          </w:p>
        </w:tc>
      </w:tr>
      <w:tr w:rsidR="00894AD2" w:rsidRPr="00500C4E" w14:paraId="7967B017" w14:textId="77777777" w:rsidTr="00290A99">
        <w:tc>
          <w:tcPr>
            <w:tcW w:w="1686" w:type="pct"/>
          </w:tcPr>
          <w:p w14:paraId="59876769" w14:textId="54F7CA52" w:rsidR="00894AD2" w:rsidRPr="00920905" w:rsidRDefault="00894AD2" w:rsidP="00894AD2">
            <w:pPr>
              <w:rPr>
                <w:rFonts w:cstheme="minorHAnsi"/>
                <w:color w:val="FF0000"/>
                <w:szCs w:val="20"/>
              </w:rPr>
            </w:pPr>
            <w:r w:rsidRPr="003F2FEE">
              <w:rPr>
                <w:rFonts w:cstheme="minorHAnsi"/>
                <w:szCs w:val="20"/>
              </w:rPr>
              <w:t>Education – Relocatable Classroom</w:t>
            </w:r>
          </w:p>
        </w:tc>
        <w:tc>
          <w:tcPr>
            <w:tcW w:w="1779" w:type="pct"/>
            <w:vAlign w:val="bottom"/>
          </w:tcPr>
          <w:p w14:paraId="3A971E35" w14:textId="7A2D5B6B" w:rsidR="00894AD2" w:rsidRPr="00894AD2" w:rsidRDefault="00894AD2" w:rsidP="00894AD2">
            <w:pPr>
              <w:rPr>
                <w:rFonts w:cstheme="minorHAnsi"/>
                <w:szCs w:val="20"/>
              </w:rPr>
            </w:pPr>
            <w:r w:rsidRPr="00894AD2">
              <w:rPr>
                <w:rFonts w:cstheme="minorHAnsi"/>
                <w:szCs w:val="20"/>
              </w:rPr>
              <w:t>Occupancy Sensor</w:t>
            </w:r>
          </w:p>
        </w:tc>
        <w:tc>
          <w:tcPr>
            <w:tcW w:w="1535" w:type="pct"/>
            <w:vAlign w:val="bottom"/>
          </w:tcPr>
          <w:p w14:paraId="526EA2C8" w14:textId="088AF3E4" w:rsidR="00894AD2" w:rsidRPr="00894AD2" w:rsidRDefault="00894AD2" w:rsidP="00894AD2">
            <w:pPr>
              <w:rPr>
                <w:rFonts w:cstheme="minorHAnsi"/>
                <w:szCs w:val="20"/>
              </w:rPr>
            </w:pPr>
            <w:r w:rsidRPr="00894AD2">
              <w:rPr>
                <w:rFonts w:cstheme="minorHAnsi"/>
                <w:szCs w:val="20"/>
              </w:rPr>
              <w:t>K_thru_12_School</w:t>
            </w:r>
          </w:p>
        </w:tc>
      </w:tr>
    </w:tbl>
    <w:p w14:paraId="52C9214C" w14:textId="5A04C955" w:rsidR="005552C3" w:rsidRDefault="00F95E2F" w:rsidP="00920905">
      <w:pPr>
        <w:pStyle w:val="Heading1"/>
      </w:pPr>
      <w:r>
        <w:t>Section 4. Costs</w:t>
      </w:r>
    </w:p>
    <w:p w14:paraId="4696E137" w14:textId="77777777" w:rsidR="00E16609" w:rsidRDefault="00E16609" w:rsidP="00824F1C">
      <w:pPr>
        <w:pStyle w:val="Heading2"/>
        <w:rPr>
          <w:rFonts w:asciiTheme="minorHAnsi" w:hAnsiTheme="minorHAnsi" w:cstheme="minorHAnsi"/>
        </w:rPr>
      </w:pPr>
      <w:bookmarkStart w:id="16" w:name="_MON_1399297811"/>
      <w:bookmarkStart w:id="17" w:name="_Toc214003097"/>
      <w:bookmarkEnd w:id="16"/>
      <w:r w:rsidRPr="00500C4E">
        <w:rPr>
          <w:rFonts w:asciiTheme="minorHAnsi" w:hAnsiTheme="minorHAnsi" w:cstheme="minorHAnsi"/>
        </w:rPr>
        <w:t>4</w:t>
      </w:r>
      <w:bookmarkStart w:id="18" w:name="_Hlk519679877"/>
      <w:r w:rsidRPr="00500C4E">
        <w:rPr>
          <w:rFonts w:asciiTheme="minorHAnsi" w:hAnsiTheme="minorHAnsi" w:cstheme="minorHAnsi"/>
        </w:rPr>
        <w:t>.1 Base Case Cost</w:t>
      </w:r>
      <w:bookmarkEnd w:id="17"/>
    </w:p>
    <w:p w14:paraId="00EEE33B" w14:textId="4EB373C0" w:rsidR="00C67A49" w:rsidRDefault="00C67A49" w:rsidP="00AE3DD5">
      <w:pPr>
        <w:jc w:val="both"/>
      </w:pPr>
      <w:bookmarkStart w:id="19" w:name="_Toc214003098"/>
      <w:r>
        <w:rPr>
          <w:rFonts w:cstheme="minorHAnsi"/>
        </w:rPr>
        <w:t xml:space="preserve">The base case </w:t>
      </w:r>
      <w:r w:rsidR="00E57554">
        <w:rPr>
          <w:rFonts w:cstheme="minorHAnsi"/>
        </w:rPr>
        <w:t>cost includes</w:t>
      </w:r>
      <w:r>
        <w:rPr>
          <w:rFonts w:cstheme="minorHAnsi"/>
        </w:rPr>
        <w:t xml:space="preserve"> Programmable Thermostat without occupancy sensor</w:t>
      </w:r>
      <w:r w:rsidR="001800D1">
        <w:rPr>
          <w:rFonts w:cstheme="minorHAnsi"/>
        </w:rPr>
        <w:t xml:space="preserve"> equipment cost</w:t>
      </w:r>
      <w:r>
        <w:rPr>
          <w:rFonts w:cstheme="minorHAnsi"/>
        </w:rPr>
        <w:t xml:space="preserve"> and installation</w:t>
      </w:r>
      <w:r w:rsidR="001800D1">
        <w:rPr>
          <w:rFonts w:cstheme="minorHAnsi"/>
        </w:rPr>
        <w:t xml:space="preserve"> labor cost</w:t>
      </w:r>
      <w:r>
        <w:rPr>
          <w:rFonts w:cstheme="minorHAnsi"/>
        </w:rPr>
        <w:t xml:space="preserve">. To determine the base case cost and measure cost, </w:t>
      </w:r>
      <w:r w:rsidR="0035492A">
        <w:rPr>
          <w:rFonts w:cstheme="minorHAnsi"/>
        </w:rPr>
        <w:t xml:space="preserve">seven </w:t>
      </w:r>
      <w:r>
        <w:rPr>
          <w:rFonts w:cstheme="minorHAnsi"/>
        </w:rPr>
        <w:t xml:space="preserve">(7) </w:t>
      </w:r>
      <w:r>
        <w:t xml:space="preserve">thermostat product manufacturers were contacted over phone/ email. </w:t>
      </w:r>
      <w:r w:rsidR="0035492A">
        <w:t xml:space="preserve">Three </w:t>
      </w:r>
      <w:r>
        <w:t xml:space="preserve">(3) of the vendors responded and provided the cost estimate. The cost estimate per unit of programmable thermostat </w:t>
      </w:r>
      <w:r w:rsidR="00AE3DD5">
        <w:t>with and without thermostat were approximately the same</w:t>
      </w:r>
      <w:r w:rsidR="00A52DC6">
        <w:t xml:space="preserve"> from among the manufactures</w:t>
      </w:r>
      <w:r w:rsidR="00AE3DD5">
        <w:t xml:space="preserve">. </w:t>
      </w:r>
    </w:p>
    <w:p w14:paraId="679006A1" w14:textId="77777777" w:rsidR="00C67A49" w:rsidRDefault="00C67A49" w:rsidP="00C67A49">
      <w:pPr>
        <w:jc w:val="both"/>
      </w:pPr>
    </w:p>
    <w:p w14:paraId="1B5B312C" w14:textId="65585CDE" w:rsidR="00C67A49" w:rsidRDefault="00C67A49" w:rsidP="00C67A49">
      <w:pPr>
        <w:jc w:val="both"/>
      </w:pPr>
      <w:r>
        <w:t>The base case equipment cost is $169/unit and labor cost is $156/unit. Approximately 2-hours of labor</w:t>
      </w:r>
      <w:r w:rsidR="00AE3DD5">
        <w:t xml:space="preserve"> is required as per the vendors. The </w:t>
      </w:r>
      <w:r>
        <w:t>average</w:t>
      </w:r>
      <w:r w:rsidR="00AE3DD5">
        <w:t xml:space="preserve"> labor cost is determined to be</w:t>
      </w:r>
      <w:r>
        <w:t xml:space="preserve"> $78/hour </w:t>
      </w:r>
      <w:r w:rsidR="00AE3DD5">
        <w:t>based on</w:t>
      </w:r>
      <w:r w:rsidR="00414E91">
        <w:t xml:space="preserve"> </w:t>
      </w:r>
      <w:r>
        <w:t xml:space="preserve">2018 </w:t>
      </w:r>
      <w:proofErr w:type="spellStart"/>
      <w:r>
        <w:t>RSMeans</w:t>
      </w:r>
      <w:proofErr w:type="spellEnd"/>
      <w:r>
        <w:t xml:space="preserve"> under low voltage controllers. </w:t>
      </w:r>
    </w:p>
    <w:p w14:paraId="147A2C65" w14:textId="77777777" w:rsidR="00C67A49" w:rsidRDefault="00C67A49" w:rsidP="00C67A49">
      <w:pPr>
        <w:jc w:val="both"/>
      </w:pPr>
    </w:p>
    <w:p w14:paraId="2E05D624" w14:textId="1C5CDA8C" w:rsidR="00C67A49" w:rsidRDefault="00C67A49" w:rsidP="00C67A49">
      <w:pPr>
        <w:jc w:val="both"/>
        <w:rPr>
          <w:rFonts w:cstheme="minorHAnsi"/>
        </w:rPr>
      </w:pPr>
      <w:r>
        <w:t xml:space="preserve">Please note that the unit for energy savings is per rated ton of HVAC unit. Hence, the cost data which is $/programmable thermostat </w:t>
      </w:r>
      <w:r w:rsidR="00414E91">
        <w:t>is</w:t>
      </w:r>
      <w:r>
        <w:t xml:space="preserve"> converted to $/ton. For CZ09</w:t>
      </w:r>
      <w:r w:rsidR="00AE3DD5">
        <w:t xml:space="preserve"> and CZ08</w:t>
      </w:r>
      <w:r>
        <w:t xml:space="preserve">, for which the savings are compared among building types, the total tonnage of all the units and the number of HVAC units are determined from the </w:t>
      </w:r>
      <w:proofErr w:type="spellStart"/>
      <w:r>
        <w:t>eQuest</w:t>
      </w:r>
      <w:proofErr w:type="spellEnd"/>
      <w:r>
        <w:t xml:space="preserve"> files. The total cost for programmable thermostat for all HVAC units is calculated and then divided by </w:t>
      </w:r>
      <w:r w:rsidR="00A52DC6">
        <w:t xml:space="preserve">total </w:t>
      </w:r>
      <w:r>
        <w:t xml:space="preserve">tonnage to determine the cost per ton. </w:t>
      </w:r>
      <w:r w:rsidR="00E163D5">
        <w:t xml:space="preserve">The variation of $/ton between the two climates zones is within 20%. Hence, the average cost </w:t>
      </w:r>
      <w:r w:rsidR="00680FE6">
        <w:t xml:space="preserve">of the two climate zones is used as climate zone independent $/ton. </w:t>
      </w:r>
      <w:r>
        <w:t xml:space="preserve">This approach is </w:t>
      </w:r>
      <w:r w:rsidR="008A4345">
        <w:t xml:space="preserve">also </w:t>
      </w:r>
      <w:r>
        <w:t xml:space="preserve">used for the measure </w:t>
      </w:r>
      <w:r w:rsidR="00AE3DD5">
        <w:t>case.</w:t>
      </w:r>
      <w:r>
        <w:t xml:space="preserve"> </w:t>
      </w:r>
    </w:p>
    <w:p w14:paraId="44713B57" w14:textId="77777777" w:rsidR="005A0E53" w:rsidRPr="00500C4E" w:rsidRDefault="005A0E53" w:rsidP="005A0E53">
      <w:pPr>
        <w:pStyle w:val="Heading2"/>
        <w:rPr>
          <w:rFonts w:asciiTheme="minorHAnsi" w:hAnsiTheme="minorHAnsi" w:cstheme="minorHAnsi"/>
        </w:rPr>
      </w:pPr>
      <w:r w:rsidRPr="00500C4E">
        <w:rPr>
          <w:rFonts w:asciiTheme="minorHAnsi" w:hAnsiTheme="minorHAnsi" w:cstheme="minorHAnsi"/>
        </w:rPr>
        <w:t>4.2 Measure Case Cost</w:t>
      </w:r>
    </w:p>
    <w:p w14:paraId="12365341" w14:textId="33219DB7" w:rsidR="00C67A49" w:rsidRDefault="00C67A49" w:rsidP="00C67A49">
      <w:pPr>
        <w:jc w:val="both"/>
        <w:rPr>
          <w:rFonts w:cstheme="minorHAnsi"/>
        </w:rPr>
      </w:pPr>
      <w:r>
        <w:rPr>
          <w:rFonts w:cstheme="minorHAnsi"/>
        </w:rPr>
        <w:t xml:space="preserve">The </w:t>
      </w:r>
      <w:r w:rsidR="008A4345">
        <w:rPr>
          <w:rFonts w:cstheme="minorHAnsi"/>
        </w:rPr>
        <w:t xml:space="preserve">measure </w:t>
      </w:r>
      <w:r>
        <w:rPr>
          <w:rFonts w:cstheme="minorHAnsi"/>
        </w:rPr>
        <w:t xml:space="preserve">case </w:t>
      </w:r>
      <w:r w:rsidR="008A4345">
        <w:rPr>
          <w:rFonts w:cstheme="minorHAnsi"/>
        </w:rPr>
        <w:t xml:space="preserve">cost </w:t>
      </w:r>
      <w:r>
        <w:rPr>
          <w:rFonts w:cstheme="minorHAnsi"/>
        </w:rPr>
        <w:t>is the cost of Programmable Thermostat with occupancy sensor and installation</w:t>
      </w:r>
      <w:r w:rsidR="006543ED">
        <w:rPr>
          <w:rFonts w:cstheme="minorHAnsi"/>
        </w:rPr>
        <w:t xml:space="preserve"> labor cost</w:t>
      </w:r>
      <w:r>
        <w:rPr>
          <w:rFonts w:cstheme="minorHAnsi"/>
        </w:rPr>
        <w:t xml:space="preserve">. </w:t>
      </w:r>
      <w:r w:rsidR="006543ED">
        <w:rPr>
          <w:rFonts w:cstheme="minorHAnsi"/>
        </w:rPr>
        <w:t>Similar to the</w:t>
      </w:r>
      <w:r>
        <w:rPr>
          <w:rFonts w:cstheme="minorHAnsi"/>
        </w:rPr>
        <w:t xml:space="preserve"> </w:t>
      </w:r>
      <w:r w:rsidR="00680FE6">
        <w:rPr>
          <w:rFonts w:cstheme="minorHAnsi"/>
        </w:rPr>
        <w:t>base case</w:t>
      </w:r>
      <w:r>
        <w:rPr>
          <w:rFonts w:cstheme="minorHAnsi"/>
        </w:rPr>
        <w:t>, the measure</w:t>
      </w:r>
      <w:r w:rsidR="006543ED">
        <w:rPr>
          <w:rFonts w:cstheme="minorHAnsi"/>
        </w:rPr>
        <w:t xml:space="preserve"> case</w:t>
      </w:r>
      <w:r>
        <w:rPr>
          <w:rFonts w:cstheme="minorHAnsi"/>
        </w:rPr>
        <w:t xml:space="preserve"> cost was </w:t>
      </w:r>
      <w:r w:rsidR="00CC0629">
        <w:rPr>
          <w:rFonts w:cstheme="minorHAnsi"/>
        </w:rPr>
        <w:t xml:space="preserve">also </w:t>
      </w:r>
      <w:r w:rsidR="00680FE6">
        <w:rPr>
          <w:rFonts w:cstheme="minorHAnsi"/>
        </w:rPr>
        <w:t>obtained</w:t>
      </w:r>
      <w:r w:rsidR="00CC0629">
        <w:rPr>
          <w:rFonts w:cstheme="minorHAnsi"/>
        </w:rPr>
        <w:t xml:space="preserve"> from </w:t>
      </w:r>
      <w:r w:rsidR="00680FE6">
        <w:rPr>
          <w:rFonts w:cstheme="minorHAnsi"/>
        </w:rPr>
        <w:t>the (3)</w:t>
      </w:r>
      <w:r w:rsidR="00CC0629">
        <w:rPr>
          <w:rFonts w:cstheme="minorHAnsi"/>
        </w:rPr>
        <w:t xml:space="preserve"> product</w:t>
      </w:r>
      <w:r>
        <w:rPr>
          <w:rFonts w:cstheme="minorHAnsi"/>
        </w:rPr>
        <w:t xml:space="preserve"> vendors. </w:t>
      </w:r>
    </w:p>
    <w:p w14:paraId="492491F2" w14:textId="77777777" w:rsidR="00C67A49" w:rsidRDefault="00C67A49" w:rsidP="00C67A49">
      <w:pPr>
        <w:jc w:val="both"/>
        <w:rPr>
          <w:rFonts w:cstheme="minorHAnsi"/>
        </w:rPr>
      </w:pPr>
    </w:p>
    <w:p w14:paraId="1AFFC6A2" w14:textId="5E524944" w:rsidR="00C67A49" w:rsidRDefault="00C67A49" w:rsidP="00C67A49">
      <w:pPr>
        <w:jc w:val="both"/>
        <w:rPr>
          <w:rFonts w:cstheme="minorHAnsi"/>
        </w:rPr>
      </w:pPr>
      <w:r>
        <w:rPr>
          <w:rFonts w:cstheme="minorHAnsi"/>
        </w:rPr>
        <w:t>The measure</w:t>
      </w:r>
      <w:r w:rsidR="00CC0629">
        <w:rPr>
          <w:rFonts w:cstheme="minorHAnsi"/>
        </w:rPr>
        <w:t xml:space="preserve"> case</w:t>
      </w:r>
      <w:r>
        <w:rPr>
          <w:rFonts w:cstheme="minorHAnsi"/>
        </w:rPr>
        <w:t xml:space="preserve"> equipment cost is $349/unit. This includes, $169/unit of bare thermostat, $170/unit for the occupancy sensor controls and $10 for wiring. As per the vendors, the programmable thermosets are pre-programmed to setback when there is no occupancy and the labor cost is same as installing a standard </w:t>
      </w:r>
      <w:proofErr w:type="spellStart"/>
      <w:r>
        <w:rPr>
          <w:rFonts w:cstheme="minorHAnsi"/>
        </w:rPr>
        <w:t>programable</w:t>
      </w:r>
      <w:proofErr w:type="spellEnd"/>
      <w:r>
        <w:rPr>
          <w:rFonts w:cstheme="minorHAnsi"/>
        </w:rPr>
        <w:t xml:space="preserve"> thermostat. </w:t>
      </w:r>
    </w:p>
    <w:p w14:paraId="617406E5" w14:textId="77777777" w:rsidR="00C67A49" w:rsidRDefault="00C67A49" w:rsidP="00C67A49">
      <w:pPr>
        <w:jc w:val="both"/>
        <w:rPr>
          <w:rFonts w:cstheme="minorHAnsi"/>
        </w:rPr>
      </w:pPr>
    </w:p>
    <w:p w14:paraId="79CE37F7" w14:textId="06B063AC" w:rsidR="00C67A49" w:rsidRDefault="00C67A49" w:rsidP="00C67A49">
      <w:pPr>
        <w:jc w:val="both"/>
        <w:rPr>
          <w:rFonts w:cstheme="minorHAnsi"/>
        </w:rPr>
      </w:pPr>
      <w:r>
        <w:rPr>
          <w:rFonts w:cstheme="minorHAnsi"/>
        </w:rPr>
        <w:t xml:space="preserve">The cost per ton is calculated as explained in the above section. Please refer to </w:t>
      </w:r>
      <w:r w:rsidRPr="006C4D1B">
        <w:rPr>
          <w:rFonts w:cstheme="minorHAnsi"/>
        </w:rPr>
        <w:t>Attachment#</w:t>
      </w:r>
      <w:r w:rsidR="00680FE6" w:rsidRPr="006C4D1B">
        <w:rPr>
          <w:rFonts w:cstheme="minorHAnsi"/>
        </w:rPr>
        <w:t>3</w:t>
      </w:r>
      <w:r>
        <w:rPr>
          <w:rFonts w:cstheme="minorHAnsi"/>
        </w:rPr>
        <w:t xml:space="preserve"> for the cost analysis. </w:t>
      </w:r>
      <w:r w:rsidR="001F4AAF">
        <w:rPr>
          <w:rFonts w:cstheme="minorHAnsi"/>
        </w:rPr>
        <w:t xml:space="preserve"> A summary of the cost per ton are listed below for the different building types:</w:t>
      </w:r>
    </w:p>
    <w:p w14:paraId="252766B0" w14:textId="77777777" w:rsidR="001F4AAF" w:rsidRDefault="001F4AAF" w:rsidP="00C67A49">
      <w:pPr>
        <w:jc w:val="both"/>
        <w:rPr>
          <w:rFonts w:cstheme="minorHAnsi"/>
        </w:rPr>
      </w:pPr>
    </w:p>
    <w:tbl>
      <w:tblPr>
        <w:tblW w:w="9600" w:type="dxa"/>
        <w:jc w:val="center"/>
        <w:tblLook w:val="04A0" w:firstRow="1" w:lastRow="0" w:firstColumn="1" w:lastColumn="0" w:noHBand="0" w:noVBand="1"/>
      </w:tblPr>
      <w:tblGrid>
        <w:gridCol w:w="960"/>
        <w:gridCol w:w="1261"/>
        <w:gridCol w:w="848"/>
        <w:gridCol w:w="771"/>
        <w:gridCol w:w="1261"/>
        <w:gridCol w:w="848"/>
        <w:gridCol w:w="771"/>
        <w:gridCol w:w="1261"/>
        <w:gridCol w:w="848"/>
        <w:gridCol w:w="771"/>
      </w:tblGrid>
      <w:tr w:rsidR="001F4AAF" w:rsidRPr="001F4AAF" w14:paraId="66A0410C" w14:textId="77777777" w:rsidTr="00D56D2C">
        <w:trPr>
          <w:trHeight w:val="290"/>
          <w:jc w:val="center"/>
        </w:trPr>
        <w:tc>
          <w:tcPr>
            <w:tcW w:w="960" w:type="dxa"/>
            <w:tcBorders>
              <w:top w:val="nil"/>
              <w:left w:val="nil"/>
              <w:bottom w:val="nil"/>
              <w:right w:val="nil"/>
            </w:tcBorders>
            <w:shd w:val="clear" w:color="auto" w:fill="auto"/>
            <w:noWrap/>
            <w:vAlign w:val="bottom"/>
            <w:hideMark/>
          </w:tcPr>
          <w:p w14:paraId="6FA1F54D" w14:textId="77777777" w:rsidR="001F4AAF" w:rsidRPr="001F4AAF" w:rsidRDefault="001F4AAF" w:rsidP="001F4AAF">
            <w:pPr>
              <w:rPr>
                <w:rFonts w:ascii="Times New Roman" w:hAnsi="Times New Roman"/>
                <w:sz w:val="24"/>
                <w:szCs w:val="20"/>
              </w:rPr>
            </w:pPr>
          </w:p>
        </w:tc>
        <w:tc>
          <w:tcPr>
            <w:tcW w:w="2880"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34C8003" w14:textId="36D438C7" w:rsidR="001F4AAF" w:rsidRPr="001F4AAF" w:rsidRDefault="001F4AAF" w:rsidP="001F4AAF">
            <w:pPr>
              <w:jc w:val="center"/>
              <w:rPr>
                <w:rFonts w:ascii="Calibri" w:hAnsi="Calibri"/>
                <w:b/>
                <w:bCs/>
                <w:color w:val="000000"/>
                <w:szCs w:val="22"/>
              </w:rPr>
            </w:pPr>
            <w:r>
              <w:rPr>
                <w:rFonts w:ascii="Calibri" w:hAnsi="Calibri"/>
                <w:b/>
                <w:bCs/>
                <w:color w:val="000000"/>
                <w:szCs w:val="22"/>
              </w:rPr>
              <w:t>F</w:t>
            </w:r>
            <w:r w:rsidRPr="001F4AAF">
              <w:rPr>
                <w:rFonts w:ascii="Calibri" w:hAnsi="Calibri"/>
                <w:b/>
                <w:bCs/>
                <w:color w:val="000000"/>
                <w:szCs w:val="22"/>
              </w:rPr>
              <w:t>MC($)/ton</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8D7C271" w14:textId="77777777" w:rsidR="001F4AAF" w:rsidRPr="001F4AAF" w:rsidRDefault="001F4AAF" w:rsidP="001F4AAF">
            <w:pPr>
              <w:jc w:val="center"/>
              <w:rPr>
                <w:rFonts w:ascii="Calibri" w:hAnsi="Calibri"/>
                <w:b/>
                <w:bCs/>
                <w:color w:val="000000"/>
                <w:szCs w:val="22"/>
              </w:rPr>
            </w:pPr>
            <w:r w:rsidRPr="001F4AAF">
              <w:rPr>
                <w:rFonts w:ascii="Calibri" w:hAnsi="Calibri"/>
                <w:b/>
                <w:bCs/>
                <w:color w:val="000000"/>
                <w:szCs w:val="22"/>
              </w:rPr>
              <w:t>BASE Cost($)/ton</w:t>
            </w:r>
          </w:p>
        </w:tc>
        <w:tc>
          <w:tcPr>
            <w:tcW w:w="288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84B2A3D" w14:textId="77777777" w:rsidR="001F4AAF" w:rsidRPr="001F4AAF" w:rsidRDefault="001F4AAF" w:rsidP="001F4AAF">
            <w:pPr>
              <w:jc w:val="center"/>
              <w:rPr>
                <w:rFonts w:ascii="Calibri" w:hAnsi="Calibri"/>
                <w:b/>
                <w:bCs/>
                <w:color w:val="000000"/>
                <w:szCs w:val="22"/>
              </w:rPr>
            </w:pPr>
            <w:r w:rsidRPr="001F4AAF">
              <w:rPr>
                <w:rFonts w:ascii="Calibri" w:hAnsi="Calibri"/>
                <w:b/>
                <w:bCs/>
                <w:color w:val="000000"/>
                <w:szCs w:val="22"/>
              </w:rPr>
              <w:t>IMC($)/ton</w:t>
            </w:r>
          </w:p>
        </w:tc>
      </w:tr>
      <w:tr w:rsidR="001F4AAF" w:rsidRPr="001F4AAF" w14:paraId="4F125DBC" w14:textId="77777777" w:rsidTr="00D56D2C">
        <w:trPr>
          <w:trHeight w:val="290"/>
          <w:jc w:val="center"/>
        </w:trPr>
        <w:tc>
          <w:tcPr>
            <w:tcW w:w="960" w:type="dxa"/>
            <w:tcBorders>
              <w:top w:val="nil"/>
              <w:left w:val="nil"/>
              <w:bottom w:val="nil"/>
              <w:right w:val="nil"/>
            </w:tcBorders>
            <w:shd w:val="clear" w:color="auto" w:fill="auto"/>
            <w:noWrap/>
            <w:vAlign w:val="bottom"/>
            <w:hideMark/>
          </w:tcPr>
          <w:p w14:paraId="2CEC4FDD" w14:textId="77777777" w:rsidR="001F4AAF" w:rsidRPr="001F4AAF" w:rsidRDefault="001F4AAF" w:rsidP="001F4AAF">
            <w:pPr>
              <w:jc w:val="center"/>
              <w:rPr>
                <w:rFonts w:ascii="Calibri" w:hAnsi="Calibri"/>
                <w:b/>
                <w:bCs/>
                <w:color w:val="000000"/>
                <w:szCs w:val="22"/>
              </w:rPr>
            </w:pPr>
          </w:p>
        </w:tc>
        <w:tc>
          <w:tcPr>
            <w:tcW w:w="1261" w:type="dxa"/>
            <w:tcBorders>
              <w:top w:val="nil"/>
              <w:left w:val="single" w:sz="4" w:space="0" w:color="auto"/>
              <w:bottom w:val="single" w:sz="4" w:space="0" w:color="auto"/>
              <w:right w:val="single" w:sz="4" w:space="0" w:color="auto"/>
            </w:tcBorders>
            <w:shd w:val="clear" w:color="auto" w:fill="auto"/>
            <w:noWrap/>
            <w:vAlign w:val="bottom"/>
            <w:hideMark/>
          </w:tcPr>
          <w:p w14:paraId="00C09759" w14:textId="77777777" w:rsidR="001F4AAF" w:rsidRPr="001F4AAF" w:rsidRDefault="001F4AAF" w:rsidP="00D56D2C">
            <w:pPr>
              <w:jc w:val="center"/>
              <w:rPr>
                <w:rFonts w:ascii="Calibri" w:hAnsi="Calibri"/>
                <w:b/>
                <w:bCs/>
                <w:color w:val="000000"/>
                <w:szCs w:val="22"/>
              </w:rPr>
            </w:pPr>
            <w:r w:rsidRPr="001F4AAF">
              <w:rPr>
                <w:rFonts w:ascii="Calibri" w:hAnsi="Calibri"/>
                <w:b/>
                <w:bCs/>
                <w:color w:val="000000"/>
                <w:szCs w:val="22"/>
              </w:rPr>
              <w:t>Material</w:t>
            </w:r>
          </w:p>
        </w:tc>
        <w:tc>
          <w:tcPr>
            <w:tcW w:w="848" w:type="dxa"/>
            <w:tcBorders>
              <w:top w:val="nil"/>
              <w:left w:val="nil"/>
              <w:bottom w:val="single" w:sz="4" w:space="0" w:color="auto"/>
              <w:right w:val="single" w:sz="4" w:space="0" w:color="auto"/>
            </w:tcBorders>
            <w:shd w:val="clear" w:color="auto" w:fill="auto"/>
            <w:noWrap/>
            <w:vAlign w:val="bottom"/>
            <w:hideMark/>
          </w:tcPr>
          <w:p w14:paraId="777ADE70" w14:textId="77777777" w:rsidR="001F4AAF" w:rsidRPr="001F4AAF" w:rsidRDefault="001F4AAF" w:rsidP="00D56D2C">
            <w:pPr>
              <w:jc w:val="center"/>
              <w:rPr>
                <w:rFonts w:ascii="Calibri" w:hAnsi="Calibri"/>
                <w:b/>
                <w:bCs/>
                <w:color w:val="000000"/>
                <w:szCs w:val="22"/>
              </w:rPr>
            </w:pPr>
            <w:r w:rsidRPr="001F4AAF">
              <w:rPr>
                <w:rFonts w:ascii="Calibri" w:hAnsi="Calibri"/>
                <w:b/>
                <w:bCs/>
                <w:color w:val="000000"/>
                <w:szCs w:val="22"/>
              </w:rPr>
              <w:t>Labor</w:t>
            </w:r>
          </w:p>
        </w:tc>
        <w:tc>
          <w:tcPr>
            <w:tcW w:w="771" w:type="dxa"/>
            <w:tcBorders>
              <w:top w:val="nil"/>
              <w:left w:val="nil"/>
              <w:bottom w:val="single" w:sz="4" w:space="0" w:color="auto"/>
              <w:right w:val="single" w:sz="4" w:space="0" w:color="auto"/>
            </w:tcBorders>
            <w:shd w:val="clear" w:color="auto" w:fill="auto"/>
            <w:noWrap/>
            <w:vAlign w:val="bottom"/>
            <w:hideMark/>
          </w:tcPr>
          <w:p w14:paraId="3FB455DE" w14:textId="77777777" w:rsidR="001F4AAF" w:rsidRPr="001F4AAF" w:rsidRDefault="001F4AAF" w:rsidP="00D56D2C">
            <w:pPr>
              <w:jc w:val="center"/>
              <w:rPr>
                <w:rFonts w:ascii="Calibri" w:hAnsi="Calibri"/>
                <w:b/>
                <w:bCs/>
                <w:color w:val="000000"/>
                <w:szCs w:val="22"/>
              </w:rPr>
            </w:pPr>
            <w:r w:rsidRPr="001F4AAF">
              <w:rPr>
                <w:rFonts w:ascii="Calibri" w:hAnsi="Calibri"/>
                <w:b/>
                <w:bCs/>
                <w:color w:val="000000"/>
                <w:szCs w:val="22"/>
              </w:rPr>
              <w:t>Total</w:t>
            </w:r>
          </w:p>
        </w:tc>
        <w:tc>
          <w:tcPr>
            <w:tcW w:w="1261" w:type="dxa"/>
            <w:tcBorders>
              <w:top w:val="nil"/>
              <w:left w:val="nil"/>
              <w:bottom w:val="single" w:sz="4" w:space="0" w:color="auto"/>
              <w:right w:val="single" w:sz="4" w:space="0" w:color="auto"/>
            </w:tcBorders>
            <w:shd w:val="clear" w:color="auto" w:fill="auto"/>
            <w:noWrap/>
            <w:vAlign w:val="bottom"/>
            <w:hideMark/>
          </w:tcPr>
          <w:p w14:paraId="044EE950" w14:textId="77777777" w:rsidR="001F4AAF" w:rsidRPr="001F4AAF" w:rsidRDefault="001F4AAF" w:rsidP="00D56D2C">
            <w:pPr>
              <w:jc w:val="center"/>
              <w:rPr>
                <w:rFonts w:ascii="Calibri" w:hAnsi="Calibri"/>
                <w:b/>
                <w:bCs/>
                <w:color w:val="000000"/>
                <w:szCs w:val="22"/>
              </w:rPr>
            </w:pPr>
            <w:r w:rsidRPr="001F4AAF">
              <w:rPr>
                <w:rFonts w:ascii="Calibri" w:hAnsi="Calibri"/>
                <w:b/>
                <w:bCs/>
                <w:color w:val="000000"/>
                <w:szCs w:val="22"/>
              </w:rPr>
              <w:t>Material</w:t>
            </w:r>
          </w:p>
        </w:tc>
        <w:tc>
          <w:tcPr>
            <w:tcW w:w="848" w:type="dxa"/>
            <w:tcBorders>
              <w:top w:val="nil"/>
              <w:left w:val="nil"/>
              <w:bottom w:val="single" w:sz="4" w:space="0" w:color="auto"/>
              <w:right w:val="single" w:sz="4" w:space="0" w:color="auto"/>
            </w:tcBorders>
            <w:shd w:val="clear" w:color="auto" w:fill="auto"/>
            <w:noWrap/>
            <w:vAlign w:val="bottom"/>
            <w:hideMark/>
          </w:tcPr>
          <w:p w14:paraId="6259565C" w14:textId="77777777" w:rsidR="001F4AAF" w:rsidRPr="001F4AAF" w:rsidRDefault="001F4AAF" w:rsidP="00D56D2C">
            <w:pPr>
              <w:jc w:val="center"/>
              <w:rPr>
                <w:rFonts w:ascii="Calibri" w:hAnsi="Calibri"/>
                <w:b/>
                <w:bCs/>
                <w:color w:val="000000"/>
                <w:szCs w:val="22"/>
              </w:rPr>
            </w:pPr>
            <w:r w:rsidRPr="001F4AAF">
              <w:rPr>
                <w:rFonts w:ascii="Calibri" w:hAnsi="Calibri"/>
                <w:b/>
                <w:bCs/>
                <w:color w:val="000000"/>
                <w:szCs w:val="22"/>
              </w:rPr>
              <w:t>Labor</w:t>
            </w:r>
          </w:p>
        </w:tc>
        <w:tc>
          <w:tcPr>
            <w:tcW w:w="771" w:type="dxa"/>
            <w:tcBorders>
              <w:top w:val="nil"/>
              <w:left w:val="nil"/>
              <w:bottom w:val="single" w:sz="4" w:space="0" w:color="auto"/>
              <w:right w:val="single" w:sz="4" w:space="0" w:color="auto"/>
            </w:tcBorders>
            <w:shd w:val="clear" w:color="auto" w:fill="auto"/>
            <w:noWrap/>
            <w:vAlign w:val="bottom"/>
            <w:hideMark/>
          </w:tcPr>
          <w:p w14:paraId="1852FF63" w14:textId="77777777" w:rsidR="001F4AAF" w:rsidRPr="001F4AAF" w:rsidRDefault="001F4AAF" w:rsidP="00D56D2C">
            <w:pPr>
              <w:jc w:val="center"/>
              <w:rPr>
                <w:rFonts w:ascii="Calibri" w:hAnsi="Calibri"/>
                <w:b/>
                <w:bCs/>
                <w:color w:val="000000"/>
                <w:szCs w:val="22"/>
              </w:rPr>
            </w:pPr>
            <w:r w:rsidRPr="001F4AAF">
              <w:rPr>
                <w:rFonts w:ascii="Calibri" w:hAnsi="Calibri"/>
                <w:b/>
                <w:bCs/>
                <w:color w:val="000000"/>
                <w:szCs w:val="22"/>
              </w:rPr>
              <w:t>Total</w:t>
            </w:r>
          </w:p>
        </w:tc>
        <w:tc>
          <w:tcPr>
            <w:tcW w:w="1261" w:type="dxa"/>
            <w:tcBorders>
              <w:top w:val="nil"/>
              <w:left w:val="nil"/>
              <w:bottom w:val="single" w:sz="4" w:space="0" w:color="auto"/>
              <w:right w:val="single" w:sz="4" w:space="0" w:color="auto"/>
            </w:tcBorders>
            <w:shd w:val="clear" w:color="auto" w:fill="auto"/>
            <w:noWrap/>
            <w:vAlign w:val="bottom"/>
            <w:hideMark/>
          </w:tcPr>
          <w:p w14:paraId="431C2506" w14:textId="77777777" w:rsidR="001F4AAF" w:rsidRPr="001F4AAF" w:rsidRDefault="001F4AAF" w:rsidP="00D56D2C">
            <w:pPr>
              <w:jc w:val="center"/>
              <w:rPr>
                <w:rFonts w:ascii="Calibri" w:hAnsi="Calibri"/>
                <w:b/>
                <w:bCs/>
                <w:color w:val="000000"/>
                <w:szCs w:val="22"/>
              </w:rPr>
            </w:pPr>
            <w:r w:rsidRPr="001F4AAF">
              <w:rPr>
                <w:rFonts w:ascii="Calibri" w:hAnsi="Calibri"/>
                <w:b/>
                <w:bCs/>
                <w:color w:val="000000"/>
                <w:szCs w:val="22"/>
              </w:rPr>
              <w:t>Material</w:t>
            </w:r>
          </w:p>
        </w:tc>
        <w:tc>
          <w:tcPr>
            <w:tcW w:w="848" w:type="dxa"/>
            <w:tcBorders>
              <w:top w:val="nil"/>
              <w:left w:val="nil"/>
              <w:bottom w:val="single" w:sz="4" w:space="0" w:color="auto"/>
              <w:right w:val="single" w:sz="4" w:space="0" w:color="auto"/>
            </w:tcBorders>
            <w:shd w:val="clear" w:color="auto" w:fill="auto"/>
            <w:noWrap/>
            <w:vAlign w:val="bottom"/>
            <w:hideMark/>
          </w:tcPr>
          <w:p w14:paraId="29C52987" w14:textId="77777777" w:rsidR="001F4AAF" w:rsidRPr="001F4AAF" w:rsidRDefault="001F4AAF" w:rsidP="00D56D2C">
            <w:pPr>
              <w:jc w:val="center"/>
              <w:rPr>
                <w:rFonts w:ascii="Calibri" w:hAnsi="Calibri"/>
                <w:b/>
                <w:bCs/>
                <w:color w:val="000000"/>
                <w:szCs w:val="22"/>
              </w:rPr>
            </w:pPr>
            <w:r w:rsidRPr="001F4AAF">
              <w:rPr>
                <w:rFonts w:ascii="Calibri" w:hAnsi="Calibri"/>
                <w:b/>
                <w:bCs/>
                <w:color w:val="000000"/>
                <w:szCs w:val="22"/>
              </w:rPr>
              <w:t>Labor</w:t>
            </w:r>
          </w:p>
        </w:tc>
        <w:tc>
          <w:tcPr>
            <w:tcW w:w="771" w:type="dxa"/>
            <w:tcBorders>
              <w:top w:val="nil"/>
              <w:left w:val="nil"/>
              <w:bottom w:val="single" w:sz="4" w:space="0" w:color="auto"/>
              <w:right w:val="single" w:sz="4" w:space="0" w:color="auto"/>
            </w:tcBorders>
            <w:shd w:val="clear" w:color="auto" w:fill="auto"/>
            <w:noWrap/>
            <w:vAlign w:val="bottom"/>
            <w:hideMark/>
          </w:tcPr>
          <w:p w14:paraId="0BD6EB6D" w14:textId="77777777" w:rsidR="001F4AAF" w:rsidRPr="001F4AAF" w:rsidRDefault="001F4AAF" w:rsidP="00D56D2C">
            <w:pPr>
              <w:jc w:val="center"/>
              <w:rPr>
                <w:rFonts w:ascii="Calibri" w:hAnsi="Calibri"/>
                <w:b/>
                <w:bCs/>
                <w:color w:val="000000"/>
                <w:szCs w:val="22"/>
              </w:rPr>
            </w:pPr>
            <w:r w:rsidRPr="001F4AAF">
              <w:rPr>
                <w:rFonts w:ascii="Calibri" w:hAnsi="Calibri"/>
                <w:b/>
                <w:bCs/>
                <w:color w:val="000000"/>
                <w:szCs w:val="22"/>
              </w:rPr>
              <w:t>Total</w:t>
            </w:r>
          </w:p>
        </w:tc>
      </w:tr>
      <w:tr w:rsidR="001F4AAF" w:rsidRPr="001F4AAF" w14:paraId="0421C151" w14:textId="77777777" w:rsidTr="00D56D2C">
        <w:trPr>
          <w:trHeight w:val="29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EA2C46D" w14:textId="77777777" w:rsidR="001F4AAF" w:rsidRPr="001F4AAF" w:rsidRDefault="001F4AAF" w:rsidP="001F4AAF">
            <w:pPr>
              <w:rPr>
                <w:rFonts w:ascii="Calibri" w:hAnsi="Calibri"/>
                <w:b/>
                <w:bCs/>
                <w:color w:val="000000"/>
                <w:szCs w:val="22"/>
              </w:rPr>
            </w:pPr>
            <w:r w:rsidRPr="001F4AAF">
              <w:rPr>
                <w:rFonts w:ascii="Calibri" w:hAnsi="Calibri"/>
                <w:b/>
                <w:bCs/>
                <w:color w:val="000000"/>
                <w:szCs w:val="22"/>
              </w:rPr>
              <w:t>ERC</w:t>
            </w:r>
          </w:p>
        </w:tc>
        <w:tc>
          <w:tcPr>
            <w:tcW w:w="1261" w:type="dxa"/>
            <w:tcBorders>
              <w:top w:val="nil"/>
              <w:left w:val="nil"/>
              <w:bottom w:val="single" w:sz="4" w:space="0" w:color="auto"/>
              <w:right w:val="single" w:sz="4" w:space="0" w:color="auto"/>
            </w:tcBorders>
            <w:shd w:val="clear" w:color="auto" w:fill="auto"/>
            <w:noWrap/>
            <w:vAlign w:val="bottom"/>
            <w:hideMark/>
          </w:tcPr>
          <w:p w14:paraId="155635E2"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$79</w:t>
            </w:r>
          </w:p>
        </w:tc>
        <w:tc>
          <w:tcPr>
            <w:tcW w:w="848" w:type="dxa"/>
            <w:tcBorders>
              <w:top w:val="nil"/>
              <w:left w:val="nil"/>
              <w:bottom w:val="single" w:sz="4" w:space="0" w:color="auto"/>
              <w:right w:val="single" w:sz="4" w:space="0" w:color="auto"/>
            </w:tcBorders>
            <w:shd w:val="clear" w:color="auto" w:fill="auto"/>
            <w:noWrap/>
            <w:vAlign w:val="bottom"/>
            <w:hideMark/>
          </w:tcPr>
          <w:p w14:paraId="275DDFFE"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$35</w:t>
            </w:r>
          </w:p>
        </w:tc>
        <w:tc>
          <w:tcPr>
            <w:tcW w:w="771" w:type="dxa"/>
            <w:tcBorders>
              <w:top w:val="nil"/>
              <w:left w:val="nil"/>
              <w:bottom w:val="single" w:sz="4" w:space="0" w:color="auto"/>
              <w:right w:val="single" w:sz="4" w:space="0" w:color="auto"/>
            </w:tcBorders>
            <w:shd w:val="clear" w:color="auto" w:fill="auto"/>
            <w:noWrap/>
            <w:vAlign w:val="bottom"/>
            <w:hideMark/>
          </w:tcPr>
          <w:p w14:paraId="5766D249"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$114</w:t>
            </w:r>
          </w:p>
        </w:tc>
        <w:tc>
          <w:tcPr>
            <w:tcW w:w="1261" w:type="dxa"/>
            <w:tcBorders>
              <w:top w:val="nil"/>
              <w:left w:val="nil"/>
              <w:bottom w:val="single" w:sz="4" w:space="0" w:color="auto"/>
              <w:right w:val="single" w:sz="4" w:space="0" w:color="auto"/>
            </w:tcBorders>
            <w:shd w:val="clear" w:color="auto" w:fill="auto"/>
            <w:noWrap/>
            <w:vAlign w:val="bottom"/>
            <w:hideMark/>
          </w:tcPr>
          <w:p w14:paraId="1E9E3182"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$38</w:t>
            </w:r>
          </w:p>
        </w:tc>
        <w:tc>
          <w:tcPr>
            <w:tcW w:w="848" w:type="dxa"/>
            <w:tcBorders>
              <w:top w:val="nil"/>
              <w:left w:val="nil"/>
              <w:bottom w:val="single" w:sz="4" w:space="0" w:color="auto"/>
              <w:right w:val="single" w:sz="4" w:space="0" w:color="auto"/>
            </w:tcBorders>
            <w:shd w:val="clear" w:color="auto" w:fill="auto"/>
            <w:noWrap/>
            <w:vAlign w:val="bottom"/>
            <w:hideMark/>
          </w:tcPr>
          <w:p w14:paraId="35DE0CC9"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$35</w:t>
            </w:r>
          </w:p>
        </w:tc>
        <w:tc>
          <w:tcPr>
            <w:tcW w:w="771" w:type="dxa"/>
            <w:tcBorders>
              <w:top w:val="nil"/>
              <w:left w:val="nil"/>
              <w:bottom w:val="single" w:sz="4" w:space="0" w:color="auto"/>
              <w:right w:val="single" w:sz="4" w:space="0" w:color="auto"/>
            </w:tcBorders>
            <w:shd w:val="clear" w:color="auto" w:fill="auto"/>
            <w:noWrap/>
            <w:vAlign w:val="bottom"/>
            <w:hideMark/>
          </w:tcPr>
          <w:p w14:paraId="229D5C94"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$73</w:t>
            </w:r>
          </w:p>
        </w:tc>
        <w:tc>
          <w:tcPr>
            <w:tcW w:w="1261" w:type="dxa"/>
            <w:tcBorders>
              <w:top w:val="nil"/>
              <w:left w:val="nil"/>
              <w:bottom w:val="single" w:sz="4" w:space="0" w:color="auto"/>
              <w:right w:val="single" w:sz="4" w:space="0" w:color="auto"/>
            </w:tcBorders>
            <w:shd w:val="clear" w:color="auto" w:fill="auto"/>
            <w:noWrap/>
            <w:vAlign w:val="bottom"/>
            <w:hideMark/>
          </w:tcPr>
          <w:p w14:paraId="09F56047"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$41</w:t>
            </w:r>
          </w:p>
        </w:tc>
        <w:tc>
          <w:tcPr>
            <w:tcW w:w="848" w:type="dxa"/>
            <w:tcBorders>
              <w:top w:val="nil"/>
              <w:left w:val="nil"/>
              <w:bottom w:val="single" w:sz="4" w:space="0" w:color="auto"/>
              <w:right w:val="single" w:sz="4" w:space="0" w:color="auto"/>
            </w:tcBorders>
            <w:shd w:val="clear" w:color="auto" w:fill="auto"/>
            <w:noWrap/>
            <w:vAlign w:val="bottom"/>
            <w:hideMark/>
          </w:tcPr>
          <w:p w14:paraId="257B3459"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$0</w:t>
            </w:r>
          </w:p>
        </w:tc>
        <w:tc>
          <w:tcPr>
            <w:tcW w:w="771" w:type="dxa"/>
            <w:tcBorders>
              <w:top w:val="nil"/>
              <w:left w:val="nil"/>
              <w:bottom w:val="single" w:sz="4" w:space="0" w:color="auto"/>
              <w:right w:val="single" w:sz="4" w:space="0" w:color="auto"/>
            </w:tcBorders>
            <w:shd w:val="clear" w:color="auto" w:fill="auto"/>
            <w:noWrap/>
            <w:vAlign w:val="bottom"/>
            <w:hideMark/>
          </w:tcPr>
          <w:p w14:paraId="029408C9"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$41</w:t>
            </w:r>
          </w:p>
        </w:tc>
      </w:tr>
      <w:tr w:rsidR="001F4AAF" w:rsidRPr="001F4AAF" w14:paraId="5E956C5B" w14:textId="77777777" w:rsidTr="00D56D2C">
        <w:trPr>
          <w:trHeight w:val="2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02000B" w14:textId="77777777" w:rsidR="001F4AAF" w:rsidRPr="001F4AAF" w:rsidRDefault="001F4AAF" w:rsidP="001F4AAF">
            <w:pPr>
              <w:rPr>
                <w:rFonts w:ascii="Calibri" w:hAnsi="Calibri"/>
                <w:b/>
                <w:bCs/>
                <w:color w:val="000000"/>
                <w:szCs w:val="22"/>
              </w:rPr>
            </w:pPr>
            <w:proofErr w:type="spellStart"/>
            <w:r w:rsidRPr="001F4AAF">
              <w:rPr>
                <w:rFonts w:ascii="Calibri" w:hAnsi="Calibri"/>
                <w:b/>
                <w:bCs/>
                <w:color w:val="000000"/>
                <w:szCs w:val="22"/>
              </w:rPr>
              <w:t>ESe</w:t>
            </w:r>
            <w:proofErr w:type="spellEnd"/>
          </w:p>
        </w:tc>
        <w:tc>
          <w:tcPr>
            <w:tcW w:w="1261" w:type="dxa"/>
            <w:tcBorders>
              <w:top w:val="nil"/>
              <w:left w:val="nil"/>
              <w:bottom w:val="single" w:sz="4" w:space="0" w:color="auto"/>
              <w:right w:val="single" w:sz="4" w:space="0" w:color="auto"/>
            </w:tcBorders>
            <w:shd w:val="clear" w:color="auto" w:fill="auto"/>
            <w:noWrap/>
            <w:vAlign w:val="bottom"/>
            <w:hideMark/>
          </w:tcPr>
          <w:p w14:paraId="4DC878A2"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$50</w:t>
            </w:r>
          </w:p>
        </w:tc>
        <w:tc>
          <w:tcPr>
            <w:tcW w:w="848" w:type="dxa"/>
            <w:tcBorders>
              <w:top w:val="nil"/>
              <w:left w:val="nil"/>
              <w:bottom w:val="single" w:sz="4" w:space="0" w:color="auto"/>
              <w:right w:val="single" w:sz="4" w:space="0" w:color="auto"/>
            </w:tcBorders>
            <w:shd w:val="clear" w:color="auto" w:fill="auto"/>
            <w:noWrap/>
            <w:vAlign w:val="bottom"/>
            <w:hideMark/>
          </w:tcPr>
          <w:p w14:paraId="1EC8B6DB"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$22</w:t>
            </w:r>
          </w:p>
        </w:tc>
        <w:tc>
          <w:tcPr>
            <w:tcW w:w="771" w:type="dxa"/>
            <w:tcBorders>
              <w:top w:val="nil"/>
              <w:left w:val="nil"/>
              <w:bottom w:val="single" w:sz="4" w:space="0" w:color="auto"/>
              <w:right w:val="single" w:sz="4" w:space="0" w:color="auto"/>
            </w:tcBorders>
            <w:shd w:val="clear" w:color="auto" w:fill="auto"/>
            <w:noWrap/>
            <w:vAlign w:val="bottom"/>
            <w:hideMark/>
          </w:tcPr>
          <w:p w14:paraId="151BC32E"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$72</w:t>
            </w:r>
          </w:p>
        </w:tc>
        <w:tc>
          <w:tcPr>
            <w:tcW w:w="1261" w:type="dxa"/>
            <w:tcBorders>
              <w:top w:val="nil"/>
              <w:left w:val="nil"/>
              <w:bottom w:val="single" w:sz="4" w:space="0" w:color="auto"/>
              <w:right w:val="single" w:sz="4" w:space="0" w:color="auto"/>
            </w:tcBorders>
            <w:shd w:val="clear" w:color="auto" w:fill="auto"/>
            <w:noWrap/>
            <w:vAlign w:val="bottom"/>
            <w:hideMark/>
          </w:tcPr>
          <w:p w14:paraId="651B8A75"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$24</w:t>
            </w:r>
          </w:p>
        </w:tc>
        <w:tc>
          <w:tcPr>
            <w:tcW w:w="848" w:type="dxa"/>
            <w:tcBorders>
              <w:top w:val="nil"/>
              <w:left w:val="nil"/>
              <w:bottom w:val="single" w:sz="4" w:space="0" w:color="auto"/>
              <w:right w:val="single" w:sz="4" w:space="0" w:color="auto"/>
            </w:tcBorders>
            <w:shd w:val="clear" w:color="auto" w:fill="auto"/>
            <w:noWrap/>
            <w:vAlign w:val="bottom"/>
            <w:hideMark/>
          </w:tcPr>
          <w:p w14:paraId="6C9BA708"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$22</w:t>
            </w:r>
          </w:p>
        </w:tc>
        <w:tc>
          <w:tcPr>
            <w:tcW w:w="771" w:type="dxa"/>
            <w:tcBorders>
              <w:top w:val="nil"/>
              <w:left w:val="nil"/>
              <w:bottom w:val="single" w:sz="4" w:space="0" w:color="auto"/>
              <w:right w:val="single" w:sz="4" w:space="0" w:color="auto"/>
            </w:tcBorders>
            <w:shd w:val="clear" w:color="auto" w:fill="auto"/>
            <w:noWrap/>
            <w:vAlign w:val="bottom"/>
            <w:hideMark/>
          </w:tcPr>
          <w:p w14:paraId="2A63D9C4"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$46</w:t>
            </w:r>
          </w:p>
        </w:tc>
        <w:tc>
          <w:tcPr>
            <w:tcW w:w="1261" w:type="dxa"/>
            <w:tcBorders>
              <w:top w:val="nil"/>
              <w:left w:val="nil"/>
              <w:bottom w:val="single" w:sz="4" w:space="0" w:color="auto"/>
              <w:right w:val="single" w:sz="4" w:space="0" w:color="auto"/>
            </w:tcBorders>
            <w:shd w:val="clear" w:color="auto" w:fill="auto"/>
            <w:noWrap/>
            <w:vAlign w:val="bottom"/>
            <w:hideMark/>
          </w:tcPr>
          <w:p w14:paraId="53A5F16B"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$26</w:t>
            </w:r>
          </w:p>
        </w:tc>
        <w:tc>
          <w:tcPr>
            <w:tcW w:w="848" w:type="dxa"/>
            <w:tcBorders>
              <w:top w:val="nil"/>
              <w:left w:val="nil"/>
              <w:bottom w:val="single" w:sz="4" w:space="0" w:color="auto"/>
              <w:right w:val="single" w:sz="4" w:space="0" w:color="auto"/>
            </w:tcBorders>
            <w:shd w:val="clear" w:color="auto" w:fill="auto"/>
            <w:noWrap/>
            <w:vAlign w:val="bottom"/>
            <w:hideMark/>
          </w:tcPr>
          <w:p w14:paraId="202B7F13"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$0</w:t>
            </w:r>
          </w:p>
        </w:tc>
        <w:tc>
          <w:tcPr>
            <w:tcW w:w="771" w:type="dxa"/>
            <w:tcBorders>
              <w:top w:val="nil"/>
              <w:left w:val="nil"/>
              <w:bottom w:val="single" w:sz="4" w:space="0" w:color="auto"/>
              <w:right w:val="single" w:sz="4" w:space="0" w:color="auto"/>
            </w:tcBorders>
            <w:shd w:val="clear" w:color="auto" w:fill="auto"/>
            <w:noWrap/>
            <w:vAlign w:val="bottom"/>
            <w:hideMark/>
          </w:tcPr>
          <w:p w14:paraId="3FB6B047"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$26</w:t>
            </w:r>
          </w:p>
        </w:tc>
      </w:tr>
      <w:tr w:rsidR="001F4AAF" w:rsidRPr="001F4AAF" w14:paraId="78AF3770" w14:textId="77777777" w:rsidTr="00D56D2C">
        <w:trPr>
          <w:trHeight w:val="29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256AD3B9" w14:textId="77777777" w:rsidR="001F4AAF" w:rsidRPr="001F4AAF" w:rsidRDefault="001F4AAF" w:rsidP="001F4AAF">
            <w:pPr>
              <w:rPr>
                <w:rFonts w:ascii="Calibri" w:hAnsi="Calibri"/>
                <w:b/>
                <w:bCs/>
                <w:color w:val="000000"/>
                <w:szCs w:val="22"/>
              </w:rPr>
            </w:pPr>
            <w:proofErr w:type="spellStart"/>
            <w:r w:rsidRPr="001F4AAF">
              <w:rPr>
                <w:rFonts w:ascii="Calibri" w:hAnsi="Calibri"/>
                <w:b/>
                <w:bCs/>
                <w:color w:val="000000"/>
                <w:szCs w:val="22"/>
              </w:rPr>
              <w:t>EPr</w:t>
            </w:r>
            <w:proofErr w:type="spellEnd"/>
          </w:p>
        </w:tc>
        <w:tc>
          <w:tcPr>
            <w:tcW w:w="1261" w:type="dxa"/>
            <w:tcBorders>
              <w:top w:val="nil"/>
              <w:left w:val="nil"/>
              <w:bottom w:val="single" w:sz="4" w:space="0" w:color="auto"/>
              <w:right w:val="single" w:sz="4" w:space="0" w:color="auto"/>
            </w:tcBorders>
            <w:shd w:val="clear" w:color="auto" w:fill="auto"/>
            <w:noWrap/>
            <w:vAlign w:val="bottom"/>
            <w:hideMark/>
          </w:tcPr>
          <w:p w14:paraId="0E4932EE"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$42</w:t>
            </w:r>
          </w:p>
        </w:tc>
        <w:tc>
          <w:tcPr>
            <w:tcW w:w="848" w:type="dxa"/>
            <w:tcBorders>
              <w:top w:val="nil"/>
              <w:left w:val="nil"/>
              <w:bottom w:val="single" w:sz="4" w:space="0" w:color="auto"/>
              <w:right w:val="single" w:sz="4" w:space="0" w:color="auto"/>
            </w:tcBorders>
            <w:shd w:val="clear" w:color="auto" w:fill="auto"/>
            <w:noWrap/>
            <w:vAlign w:val="bottom"/>
            <w:hideMark/>
          </w:tcPr>
          <w:p w14:paraId="29339C52"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$19</w:t>
            </w:r>
          </w:p>
        </w:tc>
        <w:tc>
          <w:tcPr>
            <w:tcW w:w="771" w:type="dxa"/>
            <w:tcBorders>
              <w:top w:val="nil"/>
              <w:left w:val="nil"/>
              <w:bottom w:val="single" w:sz="4" w:space="0" w:color="auto"/>
              <w:right w:val="single" w:sz="4" w:space="0" w:color="auto"/>
            </w:tcBorders>
            <w:shd w:val="clear" w:color="auto" w:fill="auto"/>
            <w:noWrap/>
            <w:vAlign w:val="bottom"/>
            <w:hideMark/>
          </w:tcPr>
          <w:p w14:paraId="3C00B0AF"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$61</w:t>
            </w:r>
          </w:p>
        </w:tc>
        <w:tc>
          <w:tcPr>
            <w:tcW w:w="1261" w:type="dxa"/>
            <w:tcBorders>
              <w:top w:val="nil"/>
              <w:left w:val="nil"/>
              <w:bottom w:val="single" w:sz="4" w:space="0" w:color="auto"/>
              <w:right w:val="single" w:sz="4" w:space="0" w:color="auto"/>
            </w:tcBorders>
            <w:shd w:val="clear" w:color="auto" w:fill="auto"/>
            <w:noWrap/>
            <w:vAlign w:val="bottom"/>
            <w:hideMark/>
          </w:tcPr>
          <w:p w14:paraId="0186FA93"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$20</w:t>
            </w:r>
          </w:p>
        </w:tc>
        <w:tc>
          <w:tcPr>
            <w:tcW w:w="848" w:type="dxa"/>
            <w:tcBorders>
              <w:top w:val="nil"/>
              <w:left w:val="nil"/>
              <w:bottom w:val="single" w:sz="4" w:space="0" w:color="auto"/>
              <w:right w:val="single" w:sz="4" w:space="0" w:color="auto"/>
            </w:tcBorders>
            <w:shd w:val="clear" w:color="auto" w:fill="auto"/>
            <w:noWrap/>
            <w:vAlign w:val="bottom"/>
            <w:hideMark/>
          </w:tcPr>
          <w:p w14:paraId="32479A71"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$19</w:t>
            </w:r>
          </w:p>
        </w:tc>
        <w:tc>
          <w:tcPr>
            <w:tcW w:w="771" w:type="dxa"/>
            <w:tcBorders>
              <w:top w:val="nil"/>
              <w:left w:val="nil"/>
              <w:bottom w:val="single" w:sz="4" w:space="0" w:color="auto"/>
              <w:right w:val="single" w:sz="4" w:space="0" w:color="auto"/>
            </w:tcBorders>
            <w:shd w:val="clear" w:color="auto" w:fill="auto"/>
            <w:noWrap/>
            <w:vAlign w:val="bottom"/>
            <w:hideMark/>
          </w:tcPr>
          <w:p w14:paraId="7FFCAE00"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$39</w:t>
            </w:r>
          </w:p>
        </w:tc>
        <w:tc>
          <w:tcPr>
            <w:tcW w:w="1261" w:type="dxa"/>
            <w:tcBorders>
              <w:top w:val="nil"/>
              <w:left w:val="nil"/>
              <w:bottom w:val="single" w:sz="4" w:space="0" w:color="auto"/>
              <w:right w:val="single" w:sz="4" w:space="0" w:color="auto"/>
            </w:tcBorders>
            <w:shd w:val="clear" w:color="auto" w:fill="auto"/>
            <w:noWrap/>
            <w:vAlign w:val="bottom"/>
            <w:hideMark/>
          </w:tcPr>
          <w:p w14:paraId="1BAC3040"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$22</w:t>
            </w:r>
          </w:p>
        </w:tc>
        <w:tc>
          <w:tcPr>
            <w:tcW w:w="848" w:type="dxa"/>
            <w:tcBorders>
              <w:top w:val="nil"/>
              <w:left w:val="nil"/>
              <w:bottom w:val="single" w:sz="4" w:space="0" w:color="auto"/>
              <w:right w:val="single" w:sz="4" w:space="0" w:color="auto"/>
            </w:tcBorders>
            <w:shd w:val="clear" w:color="auto" w:fill="auto"/>
            <w:noWrap/>
            <w:vAlign w:val="bottom"/>
            <w:hideMark/>
          </w:tcPr>
          <w:p w14:paraId="37C3B4E2"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$0</w:t>
            </w:r>
          </w:p>
        </w:tc>
        <w:tc>
          <w:tcPr>
            <w:tcW w:w="771" w:type="dxa"/>
            <w:tcBorders>
              <w:top w:val="nil"/>
              <w:left w:val="nil"/>
              <w:bottom w:val="single" w:sz="4" w:space="0" w:color="auto"/>
              <w:right w:val="single" w:sz="4" w:space="0" w:color="auto"/>
            </w:tcBorders>
            <w:shd w:val="clear" w:color="auto" w:fill="auto"/>
            <w:noWrap/>
            <w:vAlign w:val="bottom"/>
            <w:hideMark/>
          </w:tcPr>
          <w:p w14:paraId="69FF0D54" w14:textId="77777777" w:rsidR="001F4AAF" w:rsidRPr="001F4AAF" w:rsidRDefault="001F4AAF" w:rsidP="00D56D2C">
            <w:pPr>
              <w:jc w:val="center"/>
              <w:rPr>
                <w:rFonts w:ascii="Calibri" w:hAnsi="Calibri"/>
                <w:color w:val="000000"/>
                <w:szCs w:val="22"/>
              </w:rPr>
            </w:pPr>
            <w:r w:rsidRPr="001F4AAF">
              <w:rPr>
                <w:rFonts w:ascii="Calibri" w:hAnsi="Calibri"/>
                <w:color w:val="000000"/>
                <w:szCs w:val="22"/>
              </w:rPr>
              <w:t>$22</w:t>
            </w:r>
          </w:p>
        </w:tc>
      </w:tr>
    </w:tbl>
    <w:p w14:paraId="739B2EE6" w14:textId="77777777" w:rsidR="001F4AAF" w:rsidRDefault="001F4AAF" w:rsidP="00C67A49">
      <w:pPr>
        <w:jc w:val="both"/>
        <w:rPr>
          <w:rFonts w:cstheme="minorHAnsi"/>
        </w:rPr>
      </w:pPr>
    </w:p>
    <w:p w14:paraId="17B144FD" w14:textId="77777777" w:rsidR="001F4AAF" w:rsidRDefault="001F4AAF" w:rsidP="00C67A49">
      <w:pPr>
        <w:jc w:val="both"/>
        <w:rPr>
          <w:rFonts w:cstheme="minorHAnsi"/>
        </w:rPr>
      </w:pPr>
    </w:p>
    <w:p w14:paraId="37EC7515" w14:textId="77777777" w:rsidR="001F4AAF" w:rsidRDefault="001F4AAF" w:rsidP="00D56D2C">
      <w:pPr>
        <w:jc w:val="center"/>
        <w:rPr>
          <w:rFonts w:cstheme="minorHAnsi"/>
        </w:rPr>
      </w:pPr>
    </w:p>
    <w:p w14:paraId="2EE48434" w14:textId="77777777" w:rsidR="001F4AAF" w:rsidRDefault="001F4AAF" w:rsidP="00C67A49">
      <w:pPr>
        <w:jc w:val="both"/>
        <w:rPr>
          <w:rFonts w:cstheme="minorHAnsi"/>
        </w:rPr>
      </w:pPr>
    </w:p>
    <w:p w14:paraId="0FB09510" w14:textId="77777777" w:rsidR="001F4AAF" w:rsidRDefault="001F4AAF" w:rsidP="00C67A49">
      <w:pPr>
        <w:jc w:val="both"/>
        <w:rPr>
          <w:rFonts w:cstheme="minorHAnsi"/>
        </w:rPr>
      </w:pPr>
    </w:p>
    <w:p w14:paraId="22EA90E7" w14:textId="2A314263" w:rsidR="00E16609" w:rsidRDefault="005A0E53" w:rsidP="00E16609">
      <w:pPr>
        <w:pStyle w:val="Heading2"/>
        <w:keepNext w:val="0"/>
        <w:rPr>
          <w:rFonts w:asciiTheme="minorHAnsi" w:hAnsiTheme="minorHAnsi" w:cstheme="minorHAnsi"/>
        </w:rPr>
      </w:pPr>
      <w:r w:rsidRPr="00500C4E">
        <w:rPr>
          <w:rFonts w:asciiTheme="minorHAnsi" w:hAnsiTheme="minorHAnsi" w:cstheme="minorHAnsi"/>
        </w:rPr>
        <w:t>4.3</w:t>
      </w:r>
      <w:r w:rsidR="00E16609" w:rsidRPr="00500C4E">
        <w:rPr>
          <w:rFonts w:asciiTheme="minorHAnsi" w:hAnsiTheme="minorHAnsi" w:cstheme="minorHAnsi"/>
        </w:rPr>
        <w:t xml:space="preserve"> </w:t>
      </w:r>
      <w:r w:rsidR="002469DD">
        <w:rPr>
          <w:rFonts w:asciiTheme="minorHAnsi" w:hAnsiTheme="minorHAnsi" w:cstheme="minorHAnsi"/>
        </w:rPr>
        <w:t>Full</w:t>
      </w:r>
      <w:r w:rsidR="002469DD" w:rsidRPr="00500C4E">
        <w:rPr>
          <w:rFonts w:asciiTheme="minorHAnsi" w:hAnsiTheme="minorHAnsi" w:cstheme="minorHAnsi"/>
        </w:rPr>
        <w:t xml:space="preserve"> </w:t>
      </w:r>
      <w:r w:rsidRPr="00500C4E">
        <w:rPr>
          <w:rFonts w:asciiTheme="minorHAnsi" w:hAnsiTheme="minorHAnsi" w:cstheme="minorHAnsi"/>
        </w:rPr>
        <w:t>and Incremental</w:t>
      </w:r>
      <w:r w:rsidR="00E16609" w:rsidRPr="00500C4E">
        <w:rPr>
          <w:rFonts w:asciiTheme="minorHAnsi" w:hAnsiTheme="minorHAnsi" w:cstheme="minorHAnsi"/>
        </w:rPr>
        <w:t xml:space="preserve"> Measure Cost</w:t>
      </w:r>
      <w:bookmarkEnd w:id="19"/>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C67A49" w14:paraId="55A9AD87" w14:textId="77777777" w:rsidTr="009175EE">
        <w:tc>
          <w:tcPr>
            <w:tcW w:w="672"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7F13F92" w14:textId="77777777" w:rsidR="00C67A49" w:rsidRDefault="00C67A49" w:rsidP="009175EE">
            <w:pPr>
              <w:rPr>
                <w:rFonts w:cstheme="minorHAnsi"/>
                <w:b/>
                <w:szCs w:val="20"/>
                <w:highlight w:val="yellow"/>
              </w:rPr>
            </w:pPr>
            <w:r>
              <w:rPr>
                <w:rFonts w:cstheme="minorHAnsi"/>
                <w:b/>
                <w:szCs w:val="20"/>
              </w:rPr>
              <w:t>Installation Type</w:t>
            </w:r>
          </w:p>
        </w:tc>
        <w:tc>
          <w:tcPr>
            <w:tcW w:w="1443"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D20944A" w14:textId="77777777" w:rsidR="00C67A49" w:rsidRDefault="00C67A49" w:rsidP="009175EE">
            <w:pPr>
              <w:rPr>
                <w:rFonts w:cstheme="minorHAnsi"/>
                <w:b/>
                <w:szCs w:val="20"/>
              </w:rPr>
            </w:pPr>
            <w:r>
              <w:rPr>
                <w:rFonts w:cstheme="minorHAnsi"/>
                <w:b/>
                <w:szCs w:val="20"/>
              </w:rPr>
              <w:t>Incremental Measure Cost</w:t>
            </w:r>
          </w:p>
        </w:tc>
        <w:tc>
          <w:tcPr>
            <w:tcW w:w="2885"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5E5A2F8" w14:textId="77777777" w:rsidR="00C67A49" w:rsidRDefault="00C67A49" w:rsidP="009175EE">
            <w:pPr>
              <w:rPr>
                <w:rFonts w:cstheme="minorHAnsi"/>
                <w:b/>
                <w:szCs w:val="20"/>
                <w:highlight w:val="yellow"/>
              </w:rPr>
            </w:pPr>
            <w:r>
              <w:rPr>
                <w:rFonts w:cstheme="minorHAnsi"/>
                <w:b/>
                <w:szCs w:val="20"/>
              </w:rPr>
              <w:t>Full Measure Cost</w:t>
            </w:r>
          </w:p>
        </w:tc>
      </w:tr>
      <w:tr w:rsidR="00C67A49" w14:paraId="4004D973" w14:textId="77777777" w:rsidTr="009175EE">
        <w:tc>
          <w:tcPr>
            <w:tcW w:w="0" w:type="auto"/>
            <w:vMerge/>
            <w:tcBorders>
              <w:top w:val="single" w:sz="4" w:space="0" w:color="auto"/>
              <w:left w:val="single" w:sz="4" w:space="0" w:color="auto"/>
              <w:bottom w:val="single" w:sz="4" w:space="0" w:color="auto"/>
              <w:right w:val="single" w:sz="4" w:space="0" w:color="auto"/>
            </w:tcBorders>
            <w:vAlign w:val="center"/>
            <w:hideMark/>
          </w:tcPr>
          <w:p w14:paraId="6972FF0A" w14:textId="77777777" w:rsidR="00C67A49" w:rsidRDefault="00C67A49" w:rsidP="009175EE">
            <w:pPr>
              <w:rPr>
                <w:rFonts w:cstheme="minorHAnsi"/>
                <w:b/>
                <w:szCs w:val="20"/>
                <w:highlight w:val="yellow"/>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BAF0B28" w14:textId="77777777" w:rsidR="00C67A49" w:rsidRDefault="00C67A49" w:rsidP="009175EE">
            <w:pPr>
              <w:rPr>
                <w:rFonts w:cstheme="minorHAnsi"/>
                <w:b/>
                <w:szCs w:val="20"/>
              </w:rPr>
            </w:pPr>
          </w:p>
        </w:tc>
        <w:tc>
          <w:tcPr>
            <w:tcW w:w="1396"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54BE649" w14:textId="77777777" w:rsidR="00C67A49" w:rsidRDefault="00C67A49" w:rsidP="009175EE">
            <w:pPr>
              <w:rPr>
                <w:rFonts w:cstheme="minorHAnsi"/>
                <w:b/>
                <w:szCs w:val="20"/>
              </w:rPr>
            </w:pPr>
            <w:r>
              <w:rPr>
                <w:rFonts w:cstheme="minorHAnsi"/>
                <w:b/>
                <w:szCs w:val="20"/>
              </w:rPr>
              <w:t>1</w:t>
            </w:r>
            <w:r>
              <w:rPr>
                <w:rFonts w:cstheme="minorHAnsi"/>
                <w:b/>
                <w:szCs w:val="20"/>
                <w:vertAlign w:val="superscript"/>
              </w:rPr>
              <w:t>st</w:t>
            </w:r>
            <w:r>
              <w:rPr>
                <w:rFonts w:cstheme="minorHAnsi"/>
                <w:b/>
                <w:szCs w:val="20"/>
              </w:rPr>
              <w:t xml:space="preserve"> Baseline</w:t>
            </w:r>
          </w:p>
        </w:tc>
        <w:tc>
          <w:tcPr>
            <w:tcW w:w="1489"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CE2F99" w14:textId="77777777" w:rsidR="00C67A49" w:rsidRDefault="00C67A49" w:rsidP="009175EE">
            <w:pPr>
              <w:rPr>
                <w:rFonts w:cstheme="minorHAnsi"/>
                <w:b/>
                <w:szCs w:val="20"/>
              </w:rPr>
            </w:pPr>
            <w:r>
              <w:rPr>
                <w:rFonts w:cstheme="minorHAnsi"/>
                <w:b/>
                <w:szCs w:val="20"/>
              </w:rPr>
              <w:t>2</w:t>
            </w:r>
            <w:r>
              <w:rPr>
                <w:rFonts w:cstheme="minorHAnsi"/>
                <w:b/>
                <w:szCs w:val="20"/>
                <w:vertAlign w:val="superscript"/>
              </w:rPr>
              <w:t>nd</w:t>
            </w:r>
            <w:r>
              <w:rPr>
                <w:rFonts w:cstheme="minorHAnsi"/>
                <w:b/>
                <w:szCs w:val="20"/>
              </w:rPr>
              <w:t xml:space="preserve"> Baseline</w:t>
            </w:r>
          </w:p>
        </w:tc>
      </w:tr>
      <w:tr w:rsidR="00C67A49" w14:paraId="66781534" w14:textId="77777777" w:rsidTr="00C371DB">
        <w:trPr>
          <w:trHeight w:val="296"/>
        </w:trPr>
        <w:tc>
          <w:tcPr>
            <w:tcW w:w="672" w:type="pct"/>
            <w:tcBorders>
              <w:top w:val="single" w:sz="4" w:space="0" w:color="auto"/>
              <w:left w:val="single" w:sz="4" w:space="0" w:color="auto"/>
              <w:bottom w:val="single" w:sz="4" w:space="0" w:color="auto"/>
              <w:right w:val="single" w:sz="4" w:space="0" w:color="auto"/>
            </w:tcBorders>
            <w:hideMark/>
          </w:tcPr>
          <w:p w14:paraId="1516D497" w14:textId="3F31D454" w:rsidR="00C67A49" w:rsidRDefault="00680FE6" w:rsidP="009175EE">
            <w:pPr>
              <w:rPr>
                <w:rFonts w:cstheme="minorHAnsi"/>
                <w:szCs w:val="20"/>
              </w:rPr>
            </w:pPr>
            <w:r>
              <w:rPr>
                <w:rFonts w:cstheme="minorHAnsi"/>
                <w:szCs w:val="20"/>
              </w:rPr>
              <w:t>NR</w:t>
            </w:r>
            <w:r w:rsidR="00F6775F">
              <w:rPr>
                <w:rFonts w:cstheme="minorHAnsi"/>
                <w:szCs w:val="20"/>
              </w:rPr>
              <w:t>/ROB</w:t>
            </w:r>
          </w:p>
        </w:tc>
        <w:tc>
          <w:tcPr>
            <w:tcW w:w="1443" w:type="pct"/>
            <w:tcBorders>
              <w:top w:val="single" w:sz="4" w:space="0" w:color="auto"/>
              <w:left w:val="single" w:sz="4" w:space="0" w:color="auto"/>
              <w:bottom w:val="single" w:sz="4" w:space="0" w:color="auto"/>
              <w:right w:val="single" w:sz="4" w:space="0" w:color="auto"/>
            </w:tcBorders>
            <w:hideMark/>
          </w:tcPr>
          <w:p w14:paraId="27E66718" w14:textId="77777777" w:rsidR="00C67A49" w:rsidRDefault="00C67A49" w:rsidP="009175EE">
            <w:pPr>
              <w:rPr>
                <w:rFonts w:cstheme="minorHAnsi"/>
                <w:szCs w:val="20"/>
              </w:rPr>
            </w:pPr>
            <w:r>
              <w:rPr>
                <w:rFonts w:cstheme="minorHAnsi"/>
                <w:szCs w:val="20"/>
              </w:rPr>
              <w:t>MEC+MLC-(BEC+BLC)</w:t>
            </w:r>
          </w:p>
        </w:tc>
        <w:tc>
          <w:tcPr>
            <w:tcW w:w="1396" w:type="pct"/>
            <w:tcBorders>
              <w:top w:val="single" w:sz="4" w:space="0" w:color="auto"/>
              <w:left w:val="single" w:sz="4" w:space="0" w:color="auto"/>
              <w:bottom w:val="single" w:sz="4" w:space="0" w:color="auto"/>
              <w:right w:val="single" w:sz="4" w:space="0" w:color="auto"/>
            </w:tcBorders>
            <w:hideMark/>
          </w:tcPr>
          <w:p w14:paraId="4D0DCD13" w14:textId="2EC08638" w:rsidR="00C67A49" w:rsidRDefault="00732904" w:rsidP="009175EE">
            <w:pPr>
              <w:rPr>
                <w:rFonts w:cstheme="minorHAnsi"/>
                <w:szCs w:val="20"/>
              </w:rPr>
            </w:pPr>
            <w:r>
              <w:rPr>
                <w:rFonts w:cstheme="minorHAnsi"/>
                <w:szCs w:val="20"/>
              </w:rPr>
              <w:t>MEC+MLC-(BEC+BLC)</w:t>
            </w:r>
          </w:p>
        </w:tc>
        <w:tc>
          <w:tcPr>
            <w:tcW w:w="1489" w:type="pct"/>
            <w:tcBorders>
              <w:top w:val="single" w:sz="4" w:space="0" w:color="auto"/>
              <w:left w:val="single" w:sz="4" w:space="0" w:color="auto"/>
              <w:bottom w:val="single" w:sz="4" w:space="0" w:color="auto"/>
              <w:right w:val="single" w:sz="4" w:space="0" w:color="auto"/>
            </w:tcBorders>
            <w:hideMark/>
          </w:tcPr>
          <w:p w14:paraId="25812513" w14:textId="77777777" w:rsidR="00C67A49" w:rsidRDefault="00C67A49" w:rsidP="009175EE">
            <w:pPr>
              <w:rPr>
                <w:rFonts w:cstheme="minorHAnsi"/>
                <w:szCs w:val="20"/>
              </w:rPr>
            </w:pPr>
            <w:r>
              <w:rPr>
                <w:rFonts w:cstheme="minorHAnsi"/>
                <w:szCs w:val="20"/>
              </w:rPr>
              <w:t>N/A</w:t>
            </w:r>
          </w:p>
        </w:tc>
      </w:tr>
    </w:tbl>
    <w:p w14:paraId="27D25AC9" w14:textId="77777777" w:rsidR="00C67A49" w:rsidRDefault="00C67A49" w:rsidP="00C67A49">
      <w:pPr>
        <w:rPr>
          <w:sz w:val="20"/>
          <w:szCs w:val="20"/>
        </w:rPr>
      </w:pPr>
      <w:r>
        <w:rPr>
          <w:sz w:val="20"/>
          <w:szCs w:val="20"/>
        </w:rPr>
        <w:t>MEC = Measure Equipment Cost; MLC = Measure Labor Cost</w:t>
      </w:r>
    </w:p>
    <w:p w14:paraId="4BF1A444" w14:textId="77777777" w:rsidR="00C67A49" w:rsidRDefault="00C67A49" w:rsidP="00C67A49">
      <w:pPr>
        <w:rPr>
          <w:sz w:val="20"/>
          <w:szCs w:val="20"/>
        </w:rPr>
      </w:pPr>
      <w:r>
        <w:rPr>
          <w:sz w:val="20"/>
          <w:szCs w:val="20"/>
        </w:rPr>
        <w:t>BEC = Base Case Equipment Cost; BLC = Base Case Labor Cost</w:t>
      </w:r>
    </w:p>
    <w:p w14:paraId="07029849" w14:textId="77777777" w:rsidR="00FF73B4" w:rsidRDefault="00FF73B4">
      <w:pPr>
        <w:rPr>
          <w:rFonts w:cs="Arial"/>
          <w:color w:val="FF0000"/>
          <w:szCs w:val="22"/>
        </w:rPr>
      </w:pPr>
    </w:p>
    <w:p w14:paraId="0AF3F83F" w14:textId="4C5DF69F" w:rsidR="00FF73B4" w:rsidRDefault="00931E45">
      <w:pPr>
        <w:rPr>
          <w:b/>
        </w:rPr>
      </w:pPr>
      <w:r>
        <w:rPr>
          <w:b/>
        </w:rPr>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062"/>
        <w:gridCol w:w="894"/>
        <w:gridCol w:w="1156"/>
        <w:gridCol w:w="2081"/>
        <w:gridCol w:w="2016"/>
        <w:gridCol w:w="2141"/>
      </w:tblGrid>
      <w:tr w:rsidR="00C67A49" w14:paraId="79EC24F2" w14:textId="77777777" w:rsidTr="00180210">
        <w:tc>
          <w:tcPr>
            <w:tcW w:w="56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EF742E9" w14:textId="77777777" w:rsidR="00C67A49" w:rsidRDefault="00C67A49" w:rsidP="009175EE">
            <w:pPr>
              <w:rPr>
                <w:rFonts w:cstheme="minorHAnsi"/>
                <w:b/>
                <w:szCs w:val="20"/>
              </w:rPr>
            </w:pPr>
            <w:bookmarkStart w:id="20" w:name="_Toc214003099"/>
            <w:r>
              <w:rPr>
                <w:rFonts w:cstheme="minorHAnsi"/>
                <w:b/>
                <w:szCs w:val="20"/>
              </w:rPr>
              <w:t>Measure</w:t>
            </w:r>
          </w:p>
        </w:tc>
        <w:tc>
          <w:tcPr>
            <w:tcW w:w="478" w:type="pct"/>
            <w:vMerge w:val="restart"/>
            <w:tcBorders>
              <w:top w:val="single" w:sz="4" w:space="0" w:color="auto"/>
              <w:left w:val="single" w:sz="4" w:space="0" w:color="auto"/>
              <w:right w:val="single" w:sz="4" w:space="0" w:color="auto"/>
            </w:tcBorders>
            <w:shd w:val="clear" w:color="auto" w:fill="D9D9D9" w:themeFill="background1" w:themeFillShade="D9"/>
          </w:tcPr>
          <w:p w14:paraId="7ECECFF0" w14:textId="77777777" w:rsidR="00C67A49" w:rsidRDefault="00C67A49" w:rsidP="009175EE">
            <w:pPr>
              <w:rPr>
                <w:rFonts w:cstheme="minorHAnsi"/>
                <w:b/>
                <w:szCs w:val="20"/>
              </w:rPr>
            </w:pPr>
            <w:r>
              <w:rPr>
                <w:rFonts w:cstheme="minorHAnsi"/>
                <w:b/>
                <w:szCs w:val="20"/>
              </w:rPr>
              <w:t>Building Type</w:t>
            </w:r>
          </w:p>
        </w:tc>
        <w:tc>
          <w:tcPr>
            <w:tcW w:w="618"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F0C2E96" w14:textId="77777777" w:rsidR="00C67A49" w:rsidRDefault="00C67A49" w:rsidP="009175EE">
            <w:pPr>
              <w:rPr>
                <w:rFonts w:cstheme="minorHAnsi"/>
                <w:b/>
                <w:szCs w:val="20"/>
                <w:highlight w:val="yellow"/>
              </w:rPr>
            </w:pPr>
            <w:r>
              <w:rPr>
                <w:rFonts w:cstheme="minorHAnsi"/>
                <w:b/>
                <w:szCs w:val="20"/>
              </w:rPr>
              <w:t>Installation Type</w:t>
            </w:r>
          </w:p>
        </w:tc>
        <w:tc>
          <w:tcPr>
            <w:tcW w:w="1113" w:type="pct"/>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16408D4" w14:textId="77777777" w:rsidR="00C67A49" w:rsidRDefault="00C67A49" w:rsidP="009175EE">
            <w:pPr>
              <w:rPr>
                <w:rFonts w:cstheme="minorHAnsi"/>
                <w:b/>
                <w:szCs w:val="20"/>
              </w:rPr>
            </w:pPr>
            <w:r>
              <w:rPr>
                <w:rFonts w:cstheme="minorHAnsi"/>
                <w:b/>
                <w:szCs w:val="20"/>
              </w:rPr>
              <w:t>Incremental Measure Cost/rated ton</w:t>
            </w:r>
          </w:p>
        </w:tc>
        <w:tc>
          <w:tcPr>
            <w:tcW w:w="2223"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5B3B324" w14:textId="77777777" w:rsidR="00C67A49" w:rsidRDefault="00C67A49" w:rsidP="009175EE">
            <w:pPr>
              <w:rPr>
                <w:rFonts w:cstheme="minorHAnsi"/>
                <w:b/>
                <w:szCs w:val="20"/>
                <w:highlight w:val="yellow"/>
              </w:rPr>
            </w:pPr>
            <w:r>
              <w:rPr>
                <w:rFonts w:cstheme="minorHAnsi"/>
                <w:b/>
                <w:szCs w:val="20"/>
              </w:rPr>
              <w:t>Full Measure Cost</w:t>
            </w:r>
          </w:p>
        </w:tc>
      </w:tr>
      <w:tr w:rsidR="00C67A49" w14:paraId="70E475A4" w14:textId="77777777" w:rsidTr="00180210">
        <w:tc>
          <w:tcPr>
            <w:tcW w:w="568" w:type="pct"/>
            <w:vMerge/>
            <w:tcBorders>
              <w:top w:val="single" w:sz="4" w:space="0" w:color="auto"/>
              <w:left w:val="single" w:sz="4" w:space="0" w:color="auto"/>
              <w:bottom w:val="single" w:sz="4" w:space="0" w:color="auto"/>
              <w:right w:val="single" w:sz="4" w:space="0" w:color="auto"/>
            </w:tcBorders>
            <w:vAlign w:val="center"/>
            <w:hideMark/>
          </w:tcPr>
          <w:p w14:paraId="735252F2" w14:textId="77777777" w:rsidR="00C67A49" w:rsidRDefault="00C67A49" w:rsidP="009175EE">
            <w:pPr>
              <w:rPr>
                <w:rFonts w:cstheme="minorHAnsi"/>
                <w:b/>
                <w:szCs w:val="20"/>
              </w:rPr>
            </w:pPr>
          </w:p>
        </w:tc>
        <w:tc>
          <w:tcPr>
            <w:tcW w:w="478" w:type="pct"/>
            <w:vMerge/>
            <w:tcBorders>
              <w:left w:val="single" w:sz="4" w:space="0" w:color="auto"/>
              <w:bottom w:val="single" w:sz="4" w:space="0" w:color="auto"/>
              <w:right w:val="single" w:sz="4" w:space="0" w:color="auto"/>
            </w:tcBorders>
          </w:tcPr>
          <w:p w14:paraId="3844F1A5" w14:textId="77777777" w:rsidR="00C67A49" w:rsidRDefault="00C67A49" w:rsidP="009175EE">
            <w:pPr>
              <w:rPr>
                <w:rFonts w:cstheme="minorHAnsi"/>
                <w:b/>
                <w:szCs w:val="20"/>
                <w:highlight w:val="yellow"/>
              </w:rPr>
            </w:pPr>
          </w:p>
        </w:tc>
        <w:tc>
          <w:tcPr>
            <w:tcW w:w="618" w:type="pct"/>
            <w:vMerge/>
            <w:tcBorders>
              <w:top w:val="single" w:sz="4" w:space="0" w:color="auto"/>
              <w:left w:val="single" w:sz="4" w:space="0" w:color="auto"/>
              <w:bottom w:val="single" w:sz="4" w:space="0" w:color="auto"/>
              <w:right w:val="single" w:sz="4" w:space="0" w:color="auto"/>
            </w:tcBorders>
            <w:vAlign w:val="center"/>
            <w:hideMark/>
          </w:tcPr>
          <w:p w14:paraId="47F717CA" w14:textId="77777777" w:rsidR="00C67A49" w:rsidRDefault="00C67A49" w:rsidP="009175EE">
            <w:pPr>
              <w:rPr>
                <w:rFonts w:cstheme="minorHAnsi"/>
                <w:b/>
                <w:szCs w:val="20"/>
                <w:highlight w:val="yellow"/>
              </w:rPr>
            </w:pPr>
          </w:p>
        </w:tc>
        <w:tc>
          <w:tcPr>
            <w:tcW w:w="1113" w:type="pct"/>
            <w:vMerge/>
            <w:tcBorders>
              <w:top w:val="single" w:sz="4" w:space="0" w:color="auto"/>
              <w:left w:val="single" w:sz="4" w:space="0" w:color="auto"/>
              <w:bottom w:val="single" w:sz="4" w:space="0" w:color="auto"/>
              <w:right w:val="single" w:sz="4" w:space="0" w:color="auto"/>
            </w:tcBorders>
            <w:vAlign w:val="center"/>
            <w:hideMark/>
          </w:tcPr>
          <w:p w14:paraId="6D5879D8" w14:textId="77777777" w:rsidR="00C67A49" w:rsidRDefault="00C67A49" w:rsidP="009175EE">
            <w:pPr>
              <w:rPr>
                <w:rFonts w:cstheme="minorHAnsi"/>
                <w:b/>
                <w:szCs w:val="20"/>
              </w:rPr>
            </w:pPr>
          </w:p>
        </w:tc>
        <w:tc>
          <w:tcPr>
            <w:tcW w:w="1078"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6474F06" w14:textId="77777777" w:rsidR="00C67A49" w:rsidRDefault="00C67A49" w:rsidP="009175EE">
            <w:pPr>
              <w:rPr>
                <w:rFonts w:cstheme="minorHAnsi"/>
                <w:b/>
                <w:szCs w:val="20"/>
              </w:rPr>
            </w:pPr>
            <w:r>
              <w:rPr>
                <w:rFonts w:cstheme="minorHAnsi"/>
                <w:b/>
                <w:szCs w:val="20"/>
              </w:rPr>
              <w:t>1</w:t>
            </w:r>
            <w:r>
              <w:rPr>
                <w:rFonts w:cstheme="minorHAnsi"/>
                <w:b/>
                <w:szCs w:val="20"/>
                <w:vertAlign w:val="superscript"/>
              </w:rPr>
              <w:t>st</w:t>
            </w:r>
            <w:r>
              <w:rPr>
                <w:rFonts w:cstheme="minorHAnsi"/>
                <w:b/>
                <w:szCs w:val="20"/>
              </w:rPr>
              <w:t xml:space="preserve"> Baseline</w:t>
            </w:r>
          </w:p>
        </w:tc>
        <w:tc>
          <w:tcPr>
            <w:tcW w:w="1145"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8AF8740" w14:textId="77777777" w:rsidR="00C67A49" w:rsidRDefault="00C67A49" w:rsidP="009175EE">
            <w:pPr>
              <w:rPr>
                <w:rFonts w:cstheme="minorHAnsi"/>
                <w:b/>
                <w:szCs w:val="20"/>
              </w:rPr>
            </w:pPr>
            <w:r>
              <w:rPr>
                <w:rFonts w:cstheme="minorHAnsi"/>
                <w:b/>
                <w:szCs w:val="20"/>
              </w:rPr>
              <w:t>2</w:t>
            </w:r>
            <w:r>
              <w:rPr>
                <w:rFonts w:cstheme="minorHAnsi"/>
                <w:b/>
                <w:szCs w:val="20"/>
                <w:vertAlign w:val="superscript"/>
              </w:rPr>
              <w:t>nd</w:t>
            </w:r>
            <w:r>
              <w:rPr>
                <w:rFonts w:cstheme="minorHAnsi"/>
                <w:b/>
                <w:szCs w:val="20"/>
              </w:rPr>
              <w:t xml:space="preserve"> Baseline</w:t>
            </w:r>
          </w:p>
        </w:tc>
      </w:tr>
      <w:tr w:rsidR="000E6611" w14:paraId="743A0446" w14:textId="77777777" w:rsidTr="008F62A6">
        <w:tc>
          <w:tcPr>
            <w:tcW w:w="568" w:type="pct"/>
            <w:vAlign w:val="center"/>
            <w:hideMark/>
          </w:tcPr>
          <w:p w14:paraId="07821B27" w14:textId="4AD6CA31" w:rsidR="000E6611" w:rsidRDefault="000E6611" w:rsidP="000E6611">
            <w:pPr>
              <w:rPr>
                <w:rFonts w:cstheme="minorHAnsi"/>
                <w:color w:val="FF0000"/>
                <w:szCs w:val="20"/>
              </w:rPr>
            </w:pPr>
            <w:r w:rsidRPr="00871089">
              <w:rPr>
                <w:rFonts w:cstheme="minorHAnsi"/>
                <w:szCs w:val="20"/>
              </w:rPr>
              <w:t>AC-20492</w:t>
            </w:r>
          </w:p>
        </w:tc>
        <w:tc>
          <w:tcPr>
            <w:tcW w:w="478" w:type="pct"/>
            <w:tcBorders>
              <w:top w:val="single" w:sz="4" w:space="0" w:color="auto"/>
              <w:left w:val="single" w:sz="4" w:space="0" w:color="auto"/>
              <w:bottom w:val="single" w:sz="4" w:space="0" w:color="auto"/>
              <w:right w:val="single" w:sz="4" w:space="0" w:color="auto"/>
            </w:tcBorders>
          </w:tcPr>
          <w:p w14:paraId="25586356" w14:textId="77777777" w:rsidR="000E6611" w:rsidRDefault="000E6611" w:rsidP="000E6611">
            <w:pPr>
              <w:rPr>
                <w:rFonts w:cstheme="minorHAnsi"/>
                <w:szCs w:val="20"/>
              </w:rPr>
            </w:pPr>
            <w:r>
              <w:rPr>
                <w:rFonts w:cstheme="minorHAnsi"/>
                <w:szCs w:val="20"/>
              </w:rPr>
              <w:t>ERC</w:t>
            </w:r>
          </w:p>
        </w:tc>
        <w:tc>
          <w:tcPr>
            <w:tcW w:w="618" w:type="pct"/>
            <w:tcBorders>
              <w:top w:val="single" w:sz="4" w:space="0" w:color="auto"/>
              <w:left w:val="single" w:sz="4" w:space="0" w:color="auto"/>
              <w:right w:val="single" w:sz="4" w:space="0" w:color="auto"/>
            </w:tcBorders>
            <w:vAlign w:val="center"/>
            <w:hideMark/>
          </w:tcPr>
          <w:p w14:paraId="4AE7AE9C" w14:textId="433D3DDB" w:rsidR="000E6611" w:rsidRDefault="000E6611" w:rsidP="000E6611">
            <w:pPr>
              <w:rPr>
                <w:rFonts w:cstheme="minorHAnsi"/>
                <w:szCs w:val="20"/>
              </w:rPr>
            </w:pPr>
            <w:r>
              <w:rPr>
                <w:rFonts w:cstheme="minorHAnsi"/>
                <w:szCs w:val="20"/>
              </w:rPr>
              <w:t>NR</w:t>
            </w:r>
          </w:p>
        </w:tc>
        <w:tc>
          <w:tcPr>
            <w:tcW w:w="1113" w:type="pct"/>
            <w:tcBorders>
              <w:top w:val="nil"/>
              <w:left w:val="nil"/>
              <w:bottom w:val="single" w:sz="4" w:space="0" w:color="auto"/>
              <w:right w:val="single" w:sz="4" w:space="0" w:color="auto"/>
            </w:tcBorders>
            <w:shd w:val="clear" w:color="auto" w:fill="auto"/>
            <w:vAlign w:val="bottom"/>
            <w:hideMark/>
          </w:tcPr>
          <w:p w14:paraId="352284BE" w14:textId="5A5777B0" w:rsidR="000E6611" w:rsidRDefault="000E6611" w:rsidP="000E6611">
            <w:pPr>
              <w:rPr>
                <w:rFonts w:cstheme="minorHAnsi"/>
                <w:szCs w:val="20"/>
              </w:rPr>
            </w:pPr>
            <w:r w:rsidRPr="001F4AAF">
              <w:rPr>
                <w:rFonts w:ascii="Calibri" w:hAnsi="Calibri"/>
                <w:color w:val="000000"/>
                <w:szCs w:val="22"/>
              </w:rPr>
              <w:t>$41</w:t>
            </w:r>
          </w:p>
        </w:tc>
        <w:tc>
          <w:tcPr>
            <w:tcW w:w="1078" w:type="pct"/>
            <w:tcBorders>
              <w:top w:val="nil"/>
              <w:left w:val="nil"/>
              <w:bottom w:val="single" w:sz="4" w:space="0" w:color="auto"/>
              <w:right w:val="single" w:sz="4" w:space="0" w:color="auto"/>
            </w:tcBorders>
            <w:shd w:val="clear" w:color="auto" w:fill="auto"/>
            <w:vAlign w:val="bottom"/>
            <w:hideMark/>
          </w:tcPr>
          <w:p w14:paraId="084B4059" w14:textId="28DB547E" w:rsidR="000E6611" w:rsidRDefault="000E6611" w:rsidP="000E6611">
            <w:pPr>
              <w:rPr>
                <w:rFonts w:cstheme="minorHAnsi"/>
                <w:szCs w:val="20"/>
              </w:rPr>
            </w:pPr>
            <w:r w:rsidRPr="001F4AAF">
              <w:rPr>
                <w:rFonts w:ascii="Calibri" w:hAnsi="Calibri"/>
                <w:color w:val="000000"/>
                <w:szCs w:val="22"/>
              </w:rPr>
              <w:t>$41</w:t>
            </w:r>
          </w:p>
        </w:tc>
        <w:tc>
          <w:tcPr>
            <w:tcW w:w="1145" w:type="pct"/>
            <w:vMerge w:val="restart"/>
            <w:tcBorders>
              <w:top w:val="single" w:sz="4" w:space="0" w:color="auto"/>
              <w:left w:val="single" w:sz="4" w:space="0" w:color="auto"/>
              <w:right w:val="single" w:sz="4" w:space="0" w:color="auto"/>
            </w:tcBorders>
            <w:hideMark/>
          </w:tcPr>
          <w:p w14:paraId="49F04935" w14:textId="77777777" w:rsidR="000E6611" w:rsidRDefault="000E6611" w:rsidP="000E6611">
            <w:pPr>
              <w:rPr>
                <w:rFonts w:cstheme="minorHAnsi"/>
                <w:szCs w:val="20"/>
              </w:rPr>
            </w:pPr>
            <w:r>
              <w:rPr>
                <w:rFonts w:cstheme="minorHAnsi"/>
                <w:szCs w:val="20"/>
              </w:rPr>
              <w:t>N/A</w:t>
            </w:r>
          </w:p>
          <w:p w14:paraId="22355CE8" w14:textId="77777777" w:rsidR="000E6611" w:rsidRDefault="000E6611" w:rsidP="000E6611">
            <w:pPr>
              <w:rPr>
                <w:rFonts w:cstheme="minorHAnsi"/>
                <w:szCs w:val="20"/>
              </w:rPr>
            </w:pPr>
          </w:p>
        </w:tc>
      </w:tr>
      <w:tr w:rsidR="000E6611" w14:paraId="7D790A84" w14:textId="77777777" w:rsidTr="008F62A6">
        <w:tc>
          <w:tcPr>
            <w:tcW w:w="568" w:type="pct"/>
            <w:vAlign w:val="center"/>
          </w:tcPr>
          <w:p w14:paraId="70C2E305" w14:textId="2D179D62" w:rsidR="000E6611" w:rsidRDefault="000E6611" w:rsidP="000E6611">
            <w:pPr>
              <w:rPr>
                <w:rFonts w:cstheme="minorHAnsi"/>
                <w:szCs w:val="20"/>
              </w:rPr>
            </w:pPr>
            <w:r w:rsidRPr="00DD559B">
              <w:t>AC-20489</w:t>
            </w:r>
          </w:p>
        </w:tc>
        <w:tc>
          <w:tcPr>
            <w:tcW w:w="478" w:type="pct"/>
            <w:tcBorders>
              <w:top w:val="single" w:sz="4" w:space="0" w:color="auto"/>
              <w:left w:val="single" w:sz="4" w:space="0" w:color="auto"/>
              <w:bottom w:val="single" w:sz="4" w:space="0" w:color="auto"/>
              <w:right w:val="single" w:sz="4" w:space="0" w:color="auto"/>
            </w:tcBorders>
          </w:tcPr>
          <w:p w14:paraId="7F8C1EBD" w14:textId="77777777" w:rsidR="000E6611" w:rsidRDefault="000E6611" w:rsidP="000E6611">
            <w:pPr>
              <w:rPr>
                <w:rFonts w:cstheme="minorHAnsi"/>
                <w:szCs w:val="20"/>
              </w:rPr>
            </w:pPr>
            <w:proofErr w:type="spellStart"/>
            <w:r>
              <w:rPr>
                <w:rFonts w:cstheme="minorHAnsi"/>
                <w:szCs w:val="20"/>
              </w:rPr>
              <w:t>ESe</w:t>
            </w:r>
            <w:proofErr w:type="spellEnd"/>
          </w:p>
        </w:tc>
        <w:tc>
          <w:tcPr>
            <w:tcW w:w="618" w:type="pct"/>
            <w:tcBorders>
              <w:left w:val="single" w:sz="4" w:space="0" w:color="auto"/>
              <w:right w:val="single" w:sz="4" w:space="0" w:color="auto"/>
            </w:tcBorders>
          </w:tcPr>
          <w:p w14:paraId="3D843677" w14:textId="3022AC01" w:rsidR="000E6611" w:rsidRDefault="000E6611" w:rsidP="000E6611">
            <w:pPr>
              <w:rPr>
                <w:rFonts w:cstheme="minorHAnsi"/>
                <w:szCs w:val="20"/>
              </w:rPr>
            </w:pPr>
            <w:r w:rsidRPr="00E6584A">
              <w:rPr>
                <w:rFonts w:cstheme="minorHAnsi"/>
                <w:szCs w:val="20"/>
              </w:rPr>
              <w:t>NR</w:t>
            </w:r>
          </w:p>
        </w:tc>
        <w:tc>
          <w:tcPr>
            <w:tcW w:w="1113" w:type="pct"/>
            <w:tcBorders>
              <w:top w:val="nil"/>
              <w:left w:val="nil"/>
              <w:bottom w:val="single" w:sz="4" w:space="0" w:color="auto"/>
              <w:right w:val="single" w:sz="4" w:space="0" w:color="auto"/>
            </w:tcBorders>
            <w:shd w:val="clear" w:color="auto" w:fill="auto"/>
            <w:vAlign w:val="bottom"/>
          </w:tcPr>
          <w:p w14:paraId="142A4C2C" w14:textId="197B3906" w:rsidR="000E6611" w:rsidRDefault="000E6611" w:rsidP="000E6611">
            <w:pPr>
              <w:rPr>
                <w:rFonts w:cstheme="minorHAnsi"/>
                <w:szCs w:val="20"/>
              </w:rPr>
            </w:pPr>
            <w:r w:rsidRPr="001F4AAF">
              <w:rPr>
                <w:rFonts w:ascii="Calibri" w:hAnsi="Calibri"/>
                <w:color w:val="000000"/>
                <w:szCs w:val="22"/>
              </w:rPr>
              <w:t>$26</w:t>
            </w:r>
          </w:p>
        </w:tc>
        <w:tc>
          <w:tcPr>
            <w:tcW w:w="1078" w:type="pct"/>
            <w:tcBorders>
              <w:top w:val="nil"/>
              <w:left w:val="nil"/>
              <w:bottom w:val="single" w:sz="4" w:space="0" w:color="auto"/>
              <w:right w:val="single" w:sz="4" w:space="0" w:color="auto"/>
            </w:tcBorders>
            <w:shd w:val="clear" w:color="auto" w:fill="auto"/>
            <w:vAlign w:val="bottom"/>
          </w:tcPr>
          <w:p w14:paraId="35B8FEC4" w14:textId="537BF732" w:rsidR="000E6611" w:rsidRDefault="000E6611" w:rsidP="000E6611">
            <w:pPr>
              <w:rPr>
                <w:rFonts w:cstheme="minorHAnsi"/>
                <w:szCs w:val="20"/>
              </w:rPr>
            </w:pPr>
            <w:r w:rsidRPr="001F4AAF">
              <w:rPr>
                <w:rFonts w:ascii="Calibri" w:hAnsi="Calibri"/>
                <w:color w:val="000000"/>
                <w:szCs w:val="22"/>
              </w:rPr>
              <w:t>$26</w:t>
            </w:r>
          </w:p>
        </w:tc>
        <w:tc>
          <w:tcPr>
            <w:tcW w:w="1145" w:type="pct"/>
            <w:vMerge/>
            <w:tcBorders>
              <w:left w:val="single" w:sz="4" w:space="0" w:color="auto"/>
              <w:right w:val="single" w:sz="4" w:space="0" w:color="auto"/>
            </w:tcBorders>
          </w:tcPr>
          <w:p w14:paraId="15126352" w14:textId="77777777" w:rsidR="000E6611" w:rsidRDefault="000E6611" w:rsidP="000E6611">
            <w:pPr>
              <w:rPr>
                <w:rFonts w:cstheme="minorHAnsi"/>
                <w:szCs w:val="20"/>
              </w:rPr>
            </w:pPr>
          </w:p>
        </w:tc>
      </w:tr>
      <w:tr w:rsidR="000E6611" w14:paraId="5BD3140D" w14:textId="77777777" w:rsidTr="008F62A6">
        <w:tc>
          <w:tcPr>
            <w:tcW w:w="568" w:type="pct"/>
            <w:vAlign w:val="center"/>
          </w:tcPr>
          <w:p w14:paraId="27955FF8" w14:textId="7DFD7B6F" w:rsidR="000E6611" w:rsidRDefault="000E6611" w:rsidP="000E6611">
            <w:pPr>
              <w:rPr>
                <w:rFonts w:cstheme="minorHAnsi"/>
                <w:szCs w:val="20"/>
              </w:rPr>
            </w:pPr>
            <w:r>
              <w:rPr>
                <w:rFonts w:cstheme="minorHAnsi"/>
                <w:szCs w:val="20"/>
              </w:rPr>
              <w:t>AC-68775</w:t>
            </w:r>
          </w:p>
        </w:tc>
        <w:tc>
          <w:tcPr>
            <w:tcW w:w="478" w:type="pct"/>
            <w:tcBorders>
              <w:top w:val="single" w:sz="4" w:space="0" w:color="auto"/>
              <w:left w:val="single" w:sz="4" w:space="0" w:color="auto"/>
              <w:bottom w:val="single" w:sz="4" w:space="0" w:color="auto"/>
              <w:right w:val="single" w:sz="4" w:space="0" w:color="auto"/>
            </w:tcBorders>
          </w:tcPr>
          <w:p w14:paraId="288F63DE" w14:textId="77777777" w:rsidR="000E6611" w:rsidRDefault="000E6611" w:rsidP="000E6611">
            <w:pPr>
              <w:rPr>
                <w:rFonts w:cstheme="minorHAnsi"/>
                <w:szCs w:val="20"/>
              </w:rPr>
            </w:pPr>
            <w:proofErr w:type="spellStart"/>
            <w:r>
              <w:rPr>
                <w:rFonts w:cstheme="minorHAnsi"/>
                <w:szCs w:val="20"/>
              </w:rPr>
              <w:t>EPr</w:t>
            </w:r>
            <w:proofErr w:type="spellEnd"/>
          </w:p>
        </w:tc>
        <w:tc>
          <w:tcPr>
            <w:tcW w:w="618" w:type="pct"/>
            <w:tcBorders>
              <w:left w:val="single" w:sz="4" w:space="0" w:color="auto"/>
              <w:bottom w:val="single" w:sz="4" w:space="0" w:color="auto"/>
              <w:right w:val="single" w:sz="4" w:space="0" w:color="auto"/>
            </w:tcBorders>
          </w:tcPr>
          <w:p w14:paraId="1FF70D06" w14:textId="3D2D7E27" w:rsidR="000E6611" w:rsidRDefault="000E6611" w:rsidP="000E6611">
            <w:pPr>
              <w:rPr>
                <w:rFonts w:cstheme="minorHAnsi"/>
                <w:szCs w:val="20"/>
              </w:rPr>
            </w:pPr>
            <w:r w:rsidRPr="00E6584A">
              <w:rPr>
                <w:rFonts w:cstheme="minorHAnsi"/>
                <w:szCs w:val="20"/>
              </w:rPr>
              <w:t>NR</w:t>
            </w:r>
          </w:p>
        </w:tc>
        <w:tc>
          <w:tcPr>
            <w:tcW w:w="1113" w:type="pct"/>
            <w:tcBorders>
              <w:top w:val="nil"/>
              <w:left w:val="nil"/>
              <w:bottom w:val="single" w:sz="4" w:space="0" w:color="auto"/>
              <w:right w:val="single" w:sz="4" w:space="0" w:color="auto"/>
            </w:tcBorders>
            <w:shd w:val="clear" w:color="auto" w:fill="auto"/>
            <w:vAlign w:val="bottom"/>
          </w:tcPr>
          <w:p w14:paraId="63BB5CB2" w14:textId="7598B517" w:rsidR="000E6611" w:rsidRDefault="000E6611" w:rsidP="000E6611">
            <w:pPr>
              <w:rPr>
                <w:rFonts w:cstheme="minorHAnsi"/>
                <w:szCs w:val="20"/>
              </w:rPr>
            </w:pPr>
            <w:r w:rsidRPr="001F4AAF">
              <w:rPr>
                <w:rFonts w:ascii="Calibri" w:hAnsi="Calibri"/>
                <w:color w:val="000000"/>
                <w:szCs w:val="22"/>
              </w:rPr>
              <w:t>$22</w:t>
            </w:r>
          </w:p>
        </w:tc>
        <w:tc>
          <w:tcPr>
            <w:tcW w:w="1078" w:type="pct"/>
            <w:tcBorders>
              <w:top w:val="nil"/>
              <w:left w:val="nil"/>
              <w:bottom w:val="single" w:sz="4" w:space="0" w:color="auto"/>
              <w:right w:val="single" w:sz="4" w:space="0" w:color="auto"/>
            </w:tcBorders>
            <w:shd w:val="clear" w:color="auto" w:fill="auto"/>
            <w:vAlign w:val="bottom"/>
          </w:tcPr>
          <w:p w14:paraId="25DFF760" w14:textId="53810FDB" w:rsidR="000E6611" w:rsidRDefault="000E6611" w:rsidP="000E6611">
            <w:pPr>
              <w:rPr>
                <w:rFonts w:cstheme="minorHAnsi"/>
                <w:szCs w:val="20"/>
              </w:rPr>
            </w:pPr>
            <w:r w:rsidRPr="001F4AAF">
              <w:rPr>
                <w:rFonts w:ascii="Calibri" w:hAnsi="Calibri"/>
                <w:color w:val="000000"/>
                <w:szCs w:val="22"/>
              </w:rPr>
              <w:t>$22</w:t>
            </w:r>
          </w:p>
        </w:tc>
        <w:tc>
          <w:tcPr>
            <w:tcW w:w="1145" w:type="pct"/>
            <w:vMerge/>
            <w:tcBorders>
              <w:left w:val="single" w:sz="4" w:space="0" w:color="auto"/>
              <w:right w:val="single" w:sz="4" w:space="0" w:color="auto"/>
            </w:tcBorders>
          </w:tcPr>
          <w:p w14:paraId="1C21E822" w14:textId="77777777" w:rsidR="000E6611" w:rsidRDefault="000E6611" w:rsidP="000E6611">
            <w:pPr>
              <w:rPr>
                <w:rFonts w:cstheme="minorHAnsi"/>
                <w:szCs w:val="20"/>
              </w:rPr>
            </w:pPr>
          </w:p>
        </w:tc>
      </w:tr>
      <w:tr w:rsidR="000E6611" w14:paraId="47DA90C5" w14:textId="77777777" w:rsidTr="008F62A6">
        <w:tc>
          <w:tcPr>
            <w:tcW w:w="568" w:type="pct"/>
            <w:vAlign w:val="center"/>
            <w:hideMark/>
          </w:tcPr>
          <w:p w14:paraId="4BB51D4D" w14:textId="2FE7F83D" w:rsidR="000E6611" w:rsidRDefault="000E6611" w:rsidP="000E6611">
            <w:pPr>
              <w:rPr>
                <w:rFonts w:cstheme="minorHAnsi"/>
                <w:color w:val="FF0000"/>
                <w:szCs w:val="20"/>
              </w:rPr>
            </w:pPr>
            <w:r w:rsidRPr="00871089">
              <w:rPr>
                <w:rFonts w:cstheme="minorHAnsi"/>
                <w:szCs w:val="20"/>
              </w:rPr>
              <w:t>AC-20493</w:t>
            </w:r>
          </w:p>
        </w:tc>
        <w:tc>
          <w:tcPr>
            <w:tcW w:w="478" w:type="pct"/>
            <w:tcBorders>
              <w:top w:val="single" w:sz="4" w:space="0" w:color="auto"/>
              <w:left w:val="single" w:sz="4" w:space="0" w:color="auto"/>
              <w:bottom w:val="single" w:sz="4" w:space="0" w:color="auto"/>
              <w:right w:val="single" w:sz="4" w:space="0" w:color="auto"/>
            </w:tcBorders>
          </w:tcPr>
          <w:p w14:paraId="7E31DFFF" w14:textId="77777777" w:rsidR="000E6611" w:rsidRDefault="000E6611" w:rsidP="000E6611">
            <w:pPr>
              <w:rPr>
                <w:rFonts w:cstheme="minorHAnsi"/>
                <w:szCs w:val="20"/>
              </w:rPr>
            </w:pPr>
            <w:r>
              <w:rPr>
                <w:rFonts w:cstheme="minorHAnsi"/>
                <w:szCs w:val="20"/>
              </w:rPr>
              <w:t>ERC</w:t>
            </w:r>
          </w:p>
        </w:tc>
        <w:tc>
          <w:tcPr>
            <w:tcW w:w="618" w:type="pct"/>
            <w:tcBorders>
              <w:top w:val="single" w:sz="4" w:space="0" w:color="auto"/>
              <w:left w:val="single" w:sz="4" w:space="0" w:color="auto"/>
              <w:right w:val="single" w:sz="4" w:space="0" w:color="auto"/>
            </w:tcBorders>
            <w:hideMark/>
          </w:tcPr>
          <w:p w14:paraId="5A6B2F59" w14:textId="553036DC" w:rsidR="000E6611" w:rsidRDefault="000E6611" w:rsidP="000E6611">
            <w:pPr>
              <w:rPr>
                <w:rFonts w:cstheme="minorHAnsi"/>
                <w:szCs w:val="20"/>
              </w:rPr>
            </w:pPr>
            <w:r w:rsidRPr="00E6584A">
              <w:rPr>
                <w:rFonts w:cstheme="minorHAnsi"/>
                <w:szCs w:val="20"/>
              </w:rPr>
              <w:t>NR</w:t>
            </w:r>
          </w:p>
        </w:tc>
        <w:tc>
          <w:tcPr>
            <w:tcW w:w="1113" w:type="pct"/>
            <w:tcBorders>
              <w:top w:val="nil"/>
              <w:left w:val="nil"/>
              <w:bottom w:val="single" w:sz="4" w:space="0" w:color="auto"/>
              <w:right w:val="single" w:sz="4" w:space="0" w:color="auto"/>
            </w:tcBorders>
            <w:shd w:val="clear" w:color="auto" w:fill="auto"/>
            <w:vAlign w:val="bottom"/>
            <w:hideMark/>
          </w:tcPr>
          <w:p w14:paraId="5D0450F5" w14:textId="7A98146B" w:rsidR="000E6611" w:rsidRDefault="000E6611" w:rsidP="000E6611">
            <w:pPr>
              <w:rPr>
                <w:rFonts w:cstheme="minorHAnsi"/>
                <w:szCs w:val="20"/>
              </w:rPr>
            </w:pPr>
            <w:r w:rsidRPr="001F4AAF">
              <w:rPr>
                <w:rFonts w:ascii="Calibri" w:hAnsi="Calibri"/>
                <w:color w:val="000000"/>
                <w:szCs w:val="22"/>
              </w:rPr>
              <w:t>$41</w:t>
            </w:r>
          </w:p>
        </w:tc>
        <w:tc>
          <w:tcPr>
            <w:tcW w:w="1078" w:type="pct"/>
            <w:tcBorders>
              <w:top w:val="nil"/>
              <w:left w:val="nil"/>
              <w:bottom w:val="single" w:sz="4" w:space="0" w:color="auto"/>
              <w:right w:val="single" w:sz="4" w:space="0" w:color="auto"/>
            </w:tcBorders>
            <w:shd w:val="clear" w:color="auto" w:fill="auto"/>
            <w:vAlign w:val="bottom"/>
            <w:hideMark/>
          </w:tcPr>
          <w:p w14:paraId="09A2A8DD" w14:textId="4F3A35A9" w:rsidR="000E6611" w:rsidRDefault="000E6611" w:rsidP="000E6611">
            <w:pPr>
              <w:rPr>
                <w:rFonts w:cstheme="minorHAnsi"/>
                <w:szCs w:val="20"/>
              </w:rPr>
            </w:pPr>
            <w:r w:rsidRPr="001F4AAF">
              <w:rPr>
                <w:rFonts w:ascii="Calibri" w:hAnsi="Calibri"/>
                <w:color w:val="000000"/>
                <w:szCs w:val="22"/>
              </w:rPr>
              <w:t>$41</w:t>
            </w:r>
          </w:p>
        </w:tc>
        <w:tc>
          <w:tcPr>
            <w:tcW w:w="1145" w:type="pct"/>
            <w:vMerge/>
            <w:tcBorders>
              <w:left w:val="single" w:sz="4" w:space="0" w:color="auto"/>
              <w:right w:val="single" w:sz="4" w:space="0" w:color="auto"/>
            </w:tcBorders>
            <w:hideMark/>
          </w:tcPr>
          <w:p w14:paraId="4034E24E" w14:textId="77777777" w:rsidR="000E6611" w:rsidRDefault="000E6611" w:rsidP="000E6611">
            <w:pPr>
              <w:rPr>
                <w:rFonts w:cstheme="minorHAnsi"/>
                <w:szCs w:val="20"/>
              </w:rPr>
            </w:pPr>
          </w:p>
        </w:tc>
      </w:tr>
      <w:tr w:rsidR="000E6611" w14:paraId="1579E538" w14:textId="77777777" w:rsidTr="008F62A6">
        <w:tc>
          <w:tcPr>
            <w:tcW w:w="568" w:type="pct"/>
            <w:vAlign w:val="center"/>
          </w:tcPr>
          <w:p w14:paraId="26F0A584" w14:textId="712B116D" w:rsidR="000E6611" w:rsidRDefault="000E6611" w:rsidP="000E6611">
            <w:pPr>
              <w:rPr>
                <w:rFonts w:cstheme="minorHAnsi"/>
                <w:szCs w:val="20"/>
              </w:rPr>
            </w:pPr>
            <w:r w:rsidRPr="006C36CD">
              <w:t>AC-20490</w:t>
            </w:r>
          </w:p>
        </w:tc>
        <w:tc>
          <w:tcPr>
            <w:tcW w:w="478" w:type="pct"/>
            <w:tcBorders>
              <w:top w:val="single" w:sz="4" w:space="0" w:color="auto"/>
              <w:left w:val="single" w:sz="4" w:space="0" w:color="auto"/>
              <w:bottom w:val="single" w:sz="4" w:space="0" w:color="auto"/>
              <w:right w:val="single" w:sz="4" w:space="0" w:color="auto"/>
            </w:tcBorders>
          </w:tcPr>
          <w:p w14:paraId="790A8B85" w14:textId="77777777" w:rsidR="000E6611" w:rsidRDefault="000E6611" w:rsidP="000E6611">
            <w:pPr>
              <w:rPr>
                <w:rFonts w:cstheme="minorHAnsi"/>
                <w:szCs w:val="20"/>
              </w:rPr>
            </w:pPr>
            <w:proofErr w:type="spellStart"/>
            <w:r>
              <w:rPr>
                <w:rFonts w:cstheme="minorHAnsi"/>
                <w:szCs w:val="20"/>
              </w:rPr>
              <w:t>ESe</w:t>
            </w:r>
            <w:proofErr w:type="spellEnd"/>
          </w:p>
        </w:tc>
        <w:tc>
          <w:tcPr>
            <w:tcW w:w="618" w:type="pct"/>
            <w:tcBorders>
              <w:left w:val="single" w:sz="4" w:space="0" w:color="auto"/>
              <w:right w:val="single" w:sz="4" w:space="0" w:color="auto"/>
            </w:tcBorders>
          </w:tcPr>
          <w:p w14:paraId="249773F7" w14:textId="35B56DE3" w:rsidR="000E6611" w:rsidRDefault="000E6611" w:rsidP="000E6611">
            <w:pPr>
              <w:rPr>
                <w:rFonts w:cstheme="minorHAnsi"/>
                <w:szCs w:val="20"/>
              </w:rPr>
            </w:pPr>
            <w:r w:rsidRPr="00E6584A">
              <w:rPr>
                <w:rFonts w:cstheme="minorHAnsi"/>
                <w:szCs w:val="20"/>
              </w:rPr>
              <w:t>NR</w:t>
            </w:r>
          </w:p>
        </w:tc>
        <w:tc>
          <w:tcPr>
            <w:tcW w:w="1113" w:type="pct"/>
            <w:tcBorders>
              <w:top w:val="nil"/>
              <w:left w:val="nil"/>
              <w:bottom w:val="single" w:sz="4" w:space="0" w:color="auto"/>
              <w:right w:val="single" w:sz="4" w:space="0" w:color="auto"/>
            </w:tcBorders>
            <w:shd w:val="clear" w:color="auto" w:fill="auto"/>
            <w:vAlign w:val="bottom"/>
          </w:tcPr>
          <w:p w14:paraId="61488DF0" w14:textId="39B0118B" w:rsidR="000E6611" w:rsidRDefault="000E6611" w:rsidP="000E6611">
            <w:pPr>
              <w:rPr>
                <w:rFonts w:cstheme="minorHAnsi"/>
                <w:szCs w:val="20"/>
              </w:rPr>
            </w:pPr>
            <w:r w:rsidRPr="001F4AAF">
              <w:rPr>
                <w:rFonts w:ascii="Calibri" w:hAnsi="Calibri"/>
                <w:color w:val="000000"/>
                <w:szCs w:val="22"/>
              </w:rPr>
              <w:t>$26</w:t>
            </w:r>
          </w:p>
        </w:tc>
        <w:tc>
          <w:tcPr>
            <w:tcW w:w="1078" w:type="pct"/>
            <w:tcBorders>
              <w:top w:val="nil"/>
              <w:left w:val="nil"/>
              <w:bottom w:val="single" w:sz="4" w:space="0" w:color="auto"/>
              <w:right w:val="single" w:sz="4" w:space="0" w:color="auto"/>
            </w:tcBorders>
            <w:shd w:val="clear" w:color="auto" w:fill="auto"/>
            <w:vAlign w:val="bottom"/>
          </w:tcPr>
          <w:p w14:paraId="377A2DC5" w14:textId="5CB5D71D" w:rsidR="000E6611" w:rsidRDefault="000E6611" w:rsidP="000E6611">
            <w:pPr>
              <w:rPr>
                <w:rFonts w:cstheme="minorHAnsi"/>
                <w:szCs w:val="20"/>
              </w:rPr>
            </w:pPr>
            <w:r w:rsidRPr="001F4AAF">
              <w:rPr>
                <w:rFonts w:ascii="Calibri" w:hAnsi="Calibri"/>
                <w:color w:val="000000"/>
                <w:szCs w:val="22"/>
              </w:rPr>
              <w:t>$26</w:t>
            </w:r>
          </w:p>
        </w:tc>
        <w:tc>
          <w:tcPr>
            <w:tcW w:w="1145" w:type="pct"/>
            <w:vMerge/>
            <w:tcBorders>
              <w:left w:val="single" w:sz="4" w:space="0" w:color="auto"/>
              <w:right w:val="single" w:sz="4" w:space="0" w:color="auto"/>
            </w:tcBorders>
          </w:tcPr>
          <w:p w14:paraId="653AA286" w14:textId="77777777" w:rsidR="000E6611" w:rsidRDefault="000E6611" w:rsidP="000E6611">
            <w:pPr>
              <w:rPr>
                <w:rFonts w:cstheme="minorHAnsi"/>
                <w:szCs w:val="20"/>
              </w:rPr>
            </w:pPr>
          </w:p>
        </w:tc>
      </w:tr>
      <w:tr w:rsidR="000E6611" w14:paraId="06FE87CD" w14:textId="77777777" w:rsidTr="008F62A6">
        <w:tc>
          <w:tcPr>
            <w:tcW w:w="568" w:type="pct"/>
            <w:vAlign w:val="center"/>
          </w:tcPr>
          <w:p w14:paraId="005B5676" w14:textId="1C488311" w:rsidR="000E6611" w:rsidRDefault="000E6611" w:rsidP="000E6611">
            <w:pPr>
              <w:rPr>
                <w:rFonts w:cstheme="minorHAnsi"/>
                <w:szCs w:val="20"/>
              </w:rPr>
            </w:pPr>
            <w:r w:rsidRPr="00871089">
              <w:rPr>
                <w:rFonts w:cstheme="minorHAnsi"/>
                <w:szCs w:val="20"/>
              </w:rPr>
              <w:t>AC-72229</w:t>
            </w:r>
          </w:p>
        </w:tc>
        <w:tc>
          <w:tcPr>
            <w:tcW w:w="478" w:type="pct"/>
            <w:tcBorders>
              <w:top w:val="single" w:sz="4" w:space="0" w:color="auto"/>
              <w:left w:val="single" w:sz="4" w:space="0" w:color="auto"/>
              <w:bottom w:val="single" w:sz="4" w:space="0" w:color="auto"/>
              <w:right w:val="single" w:sz="4" w:space="0" w:color="auto"/>
            </w:tcBorders>
          </w:tcPr>
          <w:p w14:paraId="4B109A6C" w14:textId="77777777" w:rsidR="000E6611" w:rsidRDefault="000E6611" w:rsidP="000E6611">
            <w:pPr>
              <w:rPr>
                <w:rFonts w:cstheme="minorHAnsi"/>
                <w:szCs w:val="20"/>
              </w:rPr>
            </w:pPr>
            <w:proofErr w:type="spellStart"/>
            <w:r>
              <w:rPr>
                <w:rFonts w:cstheme="minorHAnsi"/>
                <w:szCs w:val="20"/>
              </w:rPr>
              <w:t>EPr</w:t>
            </w:r>
            <w:proofErr w:type="spellEnd"/>
          </w:p>
        </w:tc>
        <w:tc>
          <w:tcPr>
            <w:tcW w:w="618" w:type="pct"/>
            <w:tcBorders>
              <w:left w:val="single" w:sz="4" w:space="0" w:color="auto"/>
              <w:bottom w:val="single" w:sz="4" w:space="0" w:color="auto"/>
              <w:right w:val="single" w:sz="4" w:space="0" w:color="auto"/>
            </w:tcBorders>
          </w:tcPr>
          <w:p w14:paraId="57010BDC" w14:textId="0C4580C0" w:rsidR="000E6611" w:rsidRDefault="000E6611" w:rsidP="000E6611">
            <w:pPr>
              <w:rPr>
                <w:rFonts w:cstheme="minorHAnsi"/>
                <w:szCs w:val="20"/>
              </w:rPr>
            </w:pPr>
            <w:r w:rsidRPr="00E6584A">
              <w:rPr>
                <w:rFonts w:cstheme="minorHAnsi"/>
                <w:szCs w:val="20"/>
              </w:rPr>
              <w:t>NR</w:t>
            </w:r>
          </w:p>
        </w:tc>
        <w:tc>
          <w:tcPr>
            <w:tcW w:w="1113" w:type="pct"/>
            <w:tcBorders>
              <w:top w:val="nil"/>
              <w:left w:val="nil"/>
              <w:bottom w:val="single" w:sz="4" w:space="0" w:color="auto"/>
              <w:right w:val="single" w:sz="4" w:space="0" w:color="auto"/>
            </w:tcBorders>
            <w:shd w:val="clear" w:color="auto" w:fill="auto"/>
            <w:vAlign w:val="bottom"/>
          </w:tcPr>
          <w:p w14:paraId="5E30CAFD" w14:textId="6DB4DB3F" w:rsidR="000E6611" w:rsidRDefault="000E6611" w:rsidP="000E6611">
            <w:pPr>
              <w:rPr>
                <w:rFonts w:cstheme="minorHAnsi"/>
                <w:szCs w:val="20"/>
              </w:rPr>
            </w:pPr>
            <w:r w:rsidRPr="001F4AAF">
              <w:rPr>
                <w:rFonts w:ascii="Calibri" w:hAnsi="Calibri"/>
                <w:color w:val="000000"/>
                <w:szCs w:val="22"/>
              </w:rPr>
              <w:t>$22</w:t>
            </w:r>
          </w:p>
        </w:tc>
        <w:tc>
          <w:tcPr>
            <w:tcW w:w="1078" w:type="pct"/>
            <w:tcBorders>
              <w:top w:val="nil"/>
              <w:left w:val="nil"/>
              <w:bottom w:val="single" w:sz="4" w:space="0" w:color="auto"/>
              <w:right w:val="single" w:sz="4" w:space="0" w:color="auto"/>
            </w:tcBorders>
            <w:shd w:val="clear" w:color="auto" w:fill="auto"/>
            <w:vAlign w:val="bottom"/>
          </w:tcPr>
          <w:p w14:paraId="10E84479" w14:textId="71A60947" w:rsidR="000E6611" w:rsidRDefault="000E6611" w:rsidP="000E6611">
            <w:pPr>
              <w:rPr>
                <w:rFonts w:cstheme="minorHAnsi"/>
                <w:szCs w:val="20"/>
              </w:rPr>
            </w:pPr>
            <w:r w:rsidRPr="001F4AAF">
              <w:rPr>
                <w:rFonts w:ascii="Calibri" w:hAnsi="Calibri"/>
                <w:color w:val="000000"/>
                <w:szCs w:val="22"/>
              </w:rPr>
              <w:t>$22</w:t>
            </w:r>
          </w:p>
        </w:tc>
        <w:tc>
          <w:tcPr>
            <w:tcW w:w="1145" w:type="pct"/>
            <w:vMerge/>
            <w:tcBorders>
              <w:left w:val="single" w:sz="4" w:space="0" w:color="auto"/>
              <w:bottom w:val="single" w:sz="4" w:space="0" w:color="auto"/>
              <w:right w:val="single" w:sz="4" w:space="0" w:color="auto"/>
            </w:tcBorders>
          </w:tcPr>
          <w:p w14:paraId="39979366" w14:textId="77777777" w:rsidR="000E6611" w:rsidRDefault="000E6611" w:rsidP="000E6611">
            <w:pPr>
              <w:rPr>
                <w:rFonts w:cstheme="minorHAnsi"/>
                <w:szCs w:val="20"/>
              </w:rPr>
            </w:pPr>
          </w:p>
        </w:tc>
      </w:tr>
    </w:tbl>
    <w:p w14:paraId="37E9FBDB" w14:textId="754E7BBE" w:rsidR="00E16609" w:rsidRPr="00920905" w:rsidRDefault="00E16609">
      <w:pPr>
        <w:rPr>
          <w:rFonts w:cstheme="minorHAnsi"/>
          <w:sz w:val="20"/>
          <w:szCs w:val="20"/>
        </w:rPr>
      </w:pPr>
      <w:r w:rsidRPr="00920905">
        <w:rPr>
          <w:rFonts w:cstheme="minorHAnsi"/>
          <w:sz w:val="20"/>
          <w:szCs w:val="20"/>
        </w:rPr>
        <w:br w:type="page"/>
      </w:r>
    </w:p>
    <w:bookmarkEnd w:id="18"/>
    <w:bookmarkEnd w:id="20"/>
    <w:p w14:paraId="266FC965" w14:textId="77777777" w:rsidR="00E16609" w:rsidRPr="00500C4E" w:rsidRDefault="00E16609" w:rsidP="006C4D1B">
      <w:pPr>
        <w:pStyle w:val="Heading1"/>
        <w:rPr>
          <w:rFonts w:cstheme="minorHAnsi"/>
        </w:rPr>
      </w:pPr>
      <w:r w:rsidRPr="006C4D1B">
        <w:rPr>
          <w:rFonts w:cstheme="minorHAnsi"/>
        </w:rPr>
        <w:t>Attachments</w:t>
      </w:r>
    </w:p>
    <w:p w14:paraId="16FBCBE3" w14:textId="77777777" w:rsidR="00D06765" w:rsidRDefault="00D06765" w:rsidP="00D06765">
      <w:pPr>
        <w:pStyle w:val="Reminders"/>
        <w:rPr>
          <w:rFonts w:asciiTheme="minorHAnsi" w:hAnsiTheme="minorHAnsi" w:cstheme="minorHAnsi"/>
          <w:i w:val="0"/>
          <w:szCs w:val="22"/>
        </w:rPr>
      </w:pPr>
    </w:p>
    <w:p w14:paraId="40591561" w14:textId="7A948005" w:rsidR="008F62A6" w:rsidRDefault="008F62A6" w:rsidP="008F62A6">
      <w:pPr>
        <w:pStyle w:val="Reminders"/>
        <w:numPr>
          <w:ilvl w:val="0"/>
          <w:numId w:val="14"/>
        </w:numPr>
        <w:ind w:left="270" w:hanging="270"/>
        <w:rPr>
          <w:rFonts w:asciiTheme="minorHAnsi" w:hAnsiTheme="minorHAnsi"/>
          <w:i w:val="0"/>
          <w:color w:val="auto"/>
        </w:rPr>
      </w:pPr>
      <w:r w:rsidRPr="008F62A6">
        <w:rPr>
          <w:rFonts w:asciiTheme="minorHAnsi" w:hAnsiTheme="minorHAnsi"/>
          <w:i w:val="0"/>
          <w:color w:val="auto"/>
        </w:rPr>
        <w:t>SCE17HC060.1 Calculation Template-</w:t>
      </w:r>
      <w:proofErr w:type="spellStart"/>
      <w:r w:rsidRPr="008F62A6">
        <w:rPr>
          <w:rFonts w:asciiTheme="minorHAnsi" w:hAnsiTheme="minorHAnsi"/>
          <w:i w:val="0"/>
          <w:color w:val="auto"/>
        </w:rPr>
        <w:t>EPr</w:t>
      </w:r>
      <w:proofErr w:type="spellEnd"/>
      <w:r w:rsidRPr="008F62A6">
        <w:rPr>
          <w:rFonts w:asciiTheme="minorHAnsi" w:hAnsiTheme="minorHAnsi"/>
          <w:i w:val="0"/>
          <w:color w:val="auto"/>
        </w:rPr>
        <w:t xml:space="preserve"> </w:t>
      </w:r>
      <w:r>
        <w:rPr>
          <w:rFonts w:asciiTheme="minorHAnsi" w:hAnsiTheme="minorHAnsi"/>
          <w:i w:val="0"/>
          <w:color w:val="auto"/>
        </w:rPr>
        <w:t>–</w:t>
      </w:r>
      <w:r w:rsidRPr="008F62A6">
        <w:rPr>
          <w:rFonts w:asciiTheme="minorHAnsi" w:hAnsiTheme="minorHAnsi"/>
          <w:i w:val="0"/>
          <w:color w:val="auto"/>
        </w:rPr>
        <w:t xml:space="preserve"> 082018</w:t>
      </w:r>
    </w:p>
    <w:p w14:paraId="2898D633" w14:textId="77777777" w:rsidR="008F62A6" w:rsidRDefault="008F62A6" w:rsidP="008F62A6">
      <w:pPr>
        <w:pStyle w:val="Reminders"/>
        <w:ind w:left="360" w:hanging="90"/>
        <w:rPr>
          <w:rFonts w:asciiTheme="minorHAnsi" w:hAnsiTheme="minorHAnsi"/>
          <w:i w:val="0"/>
          <w:color w:val="auto"/>
        </w:rPr>
      </w:pPr>
      <w:r w:rsidRPr="008F62A6">
        <w:rPr>
          <w:rFonts w:asciiTheme="minorHAnsi" w:hAnsiTheme="minorHAnsi"/>
          <w:i w:val="0"/>
          <w:color w:val="auto"/>
        </w:rPr>
        <w:t xml:space="preserve">SCE17HC060.1 Calculation Template-ERC </w:t>
      </w:r>
      <w:r>
        <w:rPr>
          <w:rFonts w:asciiTheme="minorHAnsi" w:hAnsiTheme="minorHAnsi"/>
          <w:i w:val="0"/>
          <w:color w:val="auto"/>
        </w:rPr>
        <w:t>–</w:t>
      </w:r>
      <w:r w:rsidRPr="008F62A6">
        <w:rPr>
          <w:rFonts w:asciiTheme="minorHAnsi" w:hAnsiTheme="minorHAnsi"/>
          <w:i w:val="0"/>
          <w:color w:val="auto"/>
        </w:rPr>
        <w:t xml:space="preserve"> 082018</w:t>
      </w:r>
    </w:p>
    <w:p w14:paraId="121A888F" w14:textId="0A5E1E19" w:rsidR="008F62A6" w:rsidRDefault="008F62A6" w:rsidP="008F62A6">
      <w:pPr>
        <w:pStyle w:val="Reminders"/>
        <w:ind w:left="360" w:hanging="90"/>
        <w:rPr>
          <w:rFonts w:asciiTheme="minorHAnsi" w:hAnsiTheme="minorHAnsi"/>
          <w:i w:val="0"/>
          <w:color w:val="auto"/>
        </w:rPr>
      </w:pPr>
      <w:r w:rsidRPr="008F62A6">
        <w:rPr>
          <w:rFonts w:asciiTheme="minorHAnsi" w:hAnsiTheme="minorHAnsi"/>
          <w:i w:val="0"/>
          <w:color w:val="auto"/>
        </w:rPr>
        <w:t>SCE17HC060.1 Calculation Template-</w:t>
      </w:r>
      <w:proofErr w:type="spellStart"/>
      <w:r w:rsidRPr="008F62A6">
        <w:rPr>
          <w:rFonts w:asciiTheme="minorHAnsi" w:hAnsiTheme="minorHAnsi"/>
          <w:i w:val="0"/>
          <w:color w:val="auto"/>
        </w:rPr>
        <w:t>ESe</w:t>
      </w:r>
      <w:proofErr w:type="spellEnd"/>
      <w:r w:rsidRPr="008F62A6">
        <w:rPr>
          <w:rFonts w:asciiTheme="minorHAnsi" w:hAnsiTheme="minorHAnsi"/>
          <w:i w:val="0"/>
          <w:color w:val="auto"/>
        </w:rPr>
        <w:t xml:space="preserve"> - 082018</w:t>
      </w:r>
    </w:p>
    <w:p w14:paraId="7C8DFB87" w14:textId="1EF5A1B4" w:rsidR="008A412F" w:rsidRDefault="00D06765" w:rsidP="00D06765">
      <w:pPr>
        <w:pStyle w:val="Reminders"/>
        <w:rPr>
          <w:rFonts w:asciiTheme="minorHAnsi" w:hAnsiTheme="minorHAnsi"/>
          <w:i w:val="0"/>
          <w:color w:val="auto"/>
        </w:rPr>
      </w:pPr>
      <w:r w:rsidRPr="00894041">
        <w:rPr>
          <w:rFonts w:asciiTheme="minorHAnsi" w:hAnsiTheme="minorHAnsi"/>
          <w:i w:val="0"/>
          <w:color w:val="auto"/>
        </w:rPr>
        <w:t>2.</w:t>
      </w:r>
      <w:r w:rsidR="00690673">
        <w:rPr>
          <w:rStyle w:val="CommentReference"/>
          <w:rFonts w:asciiTheme="minorHAnsi" w:hAnsiTheme="minorHAnsi"/>
          <w:i w:val="0"/>
          <w:color w:val="auto"/>
        </w:rPr>
        <w:t xml:space="preserve"> </w:t>
      </w:r>
      <w:r w:rsidR="008A412F" w:rsidRPr="008A412F">
        <w:rPr>
          <w:rFonts w:asciiTheme="minorHAnsi" w:hAnsiTheme="minorHAnsi"/>
          <w:i w:val="0"/>
          <w:color w:val="auto"/>
        </w:rPr>
        <w:t xml:space="preserve">SCE17HC060.1 - Savings Analysis </w:t>
      </w:r>
    </w:p>
    <w:p w14:paraId="7261BA75" w14:textId="352637B5" w:rsidR="008A412F" w:rsidRDefault="008A412F" w:rsidP="008A412F">
      <w:pPr>
        <w:pStyle w:val="Reminders"/>
        <w:rPr>
          <w:rFonts w:asciiTheme="minorHAnsi" w:hAnsiTheme="minorHAnsi"/>
          <w:i w:val="0"/>
          <w:color w:val="auto"/>
        </w:rPr>
      </w:pPr>
      <w:r>
        <w:rPr>
          <w:rFonts w:asciiTheme="minorHAnsi" w:hAnsiTheme="minorHAnsi"/>
          <w:i w:val="0"/>
          <w:color w:val="auto"/>
        </w:rPr>
        <w:t>3</w:t>
      </w:r>
      <w:r w:rsidRPr="00894041">
        <w:rPr>
          <w:rFonts w:asciiTheme="minorHAnsi" w:hAnsiTheme="minorHAnsi"/>
          <w:i w:val="0"/>
          <w:color w:val="auto"/>
        </w:rPr>
        <w:t>.</w:t>
      </w:r>
      <w:r>
        <w:rPr>
          <w:rStyle w:val="CommentReference"/>
          <w:rFonts w:asciiTheme="minorHAnsi" w:hAnsiTheme="minorHAnsi"/>
          <w:i w:val="0"/>
          <w:color w:val="auto"/>
        </w:rPr>
        <w:t xml:space="preserve"> </w:t>
      </w:r>
      <w:r w:rsidRPr="008A412F">
        <w:rPr>
          <w:rFonts w:asciiTheme="minorHAnsi" w:hAnsiTheme="minorHAnsi"/>
          <w:i w:val="0"/>
          <w:color w:val="auto"/>
        </w:rPr>
        <w:t xml:space="preserve">SCE17HC060.1 - Savings </w:t>
      </w:r>
      <w:r>
        <w:rPr>
          <w:rFonts w:asciiTheme="minorHAnsi" w:hAnsiTheme="minorHAnsi"/>
          <w:i w:val="0"/>
          <w:color w:val="auto"/>
        </w:rPr>
        <w:t>Scaling and Cost Analysis</w:t>
      </w:r>
    </w:p>
    <w:p w14:paraId="1633DD98" w14:textId="4A8D2CD5" w:rsidR="008A412F" w:rsidRDefault="008A412F" w:rsidP="008A412F">
      <w:pPr>
        <w:pStyle w:val="Reminders"/>
        <w:rPr>
          <w:rFonts w:asciiTheme="minorHAnsi" w:hAnsiTheme="minorHAnsi"/>
          <w:i w:val="0"/>
          <w:color w:val="auto"/>
        </w:rPr>
      </w:pPr>
      <w:r>
        <w:rPr>
          <w:rFonts w:asciiTheme="minorHAnsi" w:hAnsiTheme="minorHAnsi"/>
          <w:i w:val="0"/>
          <w:color w:val="auto"/>
        </w:rPr>
        <w:t xml:space="preserve">4. </w:t>
      </w:r>
      <w:r w:rsidRPr="008A412F">
        <w:rPr>
          <w:rFonts w:asciiTheme="minorHAnsi" w:hAnsiTheme="minorHAnsi"/>
          <w:i w:val="0"/>
          <w:color w:val="auto"/>
        </w:rPr>
        <w:t>SCE17HC060.1</w:t>
      </w:r>
      <w:r>
        <w:rPr>
          <w:rFonts w:asciiTheme="minorHAnsi" w:hAnsiTheme="minorHAnsi"/>
          <w:i w:val="0"/>
          <w:color w:val="auto"/>
        </w:rPr>
        <w:t xml:space="preserve"> – </w:t>
      </w:r>
      <w:proofErr w:type="spellStart"/>
      <w:r>
        <w:rPr>
          <w:rFonts w:asciiTheme="minorHAnsi" w:hAnsiTheme="minorHAnsi"/>
          <w:i w:val="0"/>
          <w:color w:val="auto"/>
        </w:rPr>
        <w:t>eQuest</w:t>
      </w:r>
      <w:proofErr w:type="spellEnd"/>
      <w:r>
        <w:rPr>
          <w:rFonts w:asciiTheme="minorHAnsi" w:hAnsiTheme="minorHAnsi"/>
          <w:i w:val="0"/>
          <w:color w:val="auto"/>
        </w:rPr>
        <w:t xml:space="preserve"> models</w:t>
      </w:r>
      <w:bookmarkStart w:id="21" w:name="_GoBack"/>
      <w:bookmarkEnd w:id="21"/>
    </w:p>
    <w:p w14:paraId="02089CE5" w14:textId="77777777" w:rsidR="008A412F" w:rsidRDefault="008A412F" w:rsidP="00D06765">
      <w:pPr>
        <w:pStyle w:val="Reminders"/>
        <w:rPr>
          <w:rFonts w:asciiTheme="minorHAnsi" w:hAnsiTheme="minorHAnsi"/>
          <w:i w:val="0"/>
          <w:color w:val="auto"/>
        </w:rPr>
      </w:pPr>
    </w:p>
    <w:p w14:paraId="4300E814" w14:textId="77777777" w:rsidR="00A500D6" w:rsidRPr="00500C4E" w:rsidRDefault="00A500D6" w:rsidP="00E16609">
      <w:pPr>
        <w:rPr>
          <w:rFonts w:cstheme="minorHAnsi"/>
        </w:rPr>
      </w:pPr>
    </w:p>
    <w:p w14:paraId="14D40E00" w14:textId="77777777" w:rsidR="00612041" w:rsidRPr="00500C4E" w:rsidRDefault="00612041" w:rsidP="00E16609">
      <w:pPr>
        <w:rPr>
          <w:rFonts w:cstheme="minorHAnsi"/>
        </w:rPr>
      </w:pPr>
    </w:p>
    <w:p w14:paraId="2629DB76" w14:textId="77777777" w:rsidR="00C54EFF" w:rsidRPr="00500C4E" w:rsidRDefault="00C54EFF" w:rsidP="00E16609">
      <w:pPr>
        <w:rPr>
          <w:rFonts w:cstheme="minorHAnsi"/>
        </w:rPr>
      </w:pPr>
    </w:p>
    <w:p w14:paraId="2ED4FFF5" w14:textId="77777777" w:rsidR="00C54EFF" w:rsidRPr="00500C4E" w:rsidRDefault="00C54EFF">
      <w:pPr>
        <w:spacing w:after="200" w:line="276" w:lineRule="auto"/>
        <w:rPr>
          <w:rFonts w:cstheme="minorHAnsi"/>
        </w:rPr>
      </w:pPr>
      <w:r w:rsidRPr="00500C4E">
        <w:rPr>
          <w:rFonts w:cstheme="minorHAnsi"/>
        </w:rPr>
        <w:br w:type="page"/>
      </w:r>
    </w:p>
    <w:p w14:paraId="3C6C156C" w14:textId="77777777" w:rsidR="00C54EFF" w:rsidRPr="00500C4E" w:rsidRDefault="00C54EFF" w:rsidP="00C54EFF">
      <w:pPr>
        <w:pStyle w:val="Heading1"/>
        <w:rPr>
          <w:rFonts w:cstheme="minorHAnsi"/>
        </w:rPr>
      </w:pPr>
      <w:r w:rsidRPr="00500C4E">
        <w:rPr>
          <w:rFonts w:cstheme="minorHAnsi"/>
        </w:rPr>
        <w:t>References</w:t>
      </w:r>
    </w:p>
    <w:p w14:paraId="3137E69F" w14:textId="5039311A" w:rsidR="00894041" w:rsidRDefault="00894041" w:rsidP="00E8010E"/>
    <w:p w14:paraId="4800D668" w14:textId="77777777" w:rsidR="00B33741" w:rsidRDefault="00B33741" w:rsidP="00E8010E"/>
    <w:p w14:paraId="632E39AF" w14:textId="2A0A1AA9" w:rsidR="00B33741" w:rsidRDefault="00E604BF" w:rsidP="00E8010E">
      <w:r>
        <w:object w:dxaOrig="1513" w:dyaOrig="985" w14:anchorId="60AD9F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0.5pt" o:ole="">
            <v:imagedata r:id="rId11" o:title=""/>
          </v:shape>
          <o:OLEObject Type="Embed" ProgID="Excel.Sheet.12" ShapeID="_x0000_i1025" DrawAspect="Icon" ObjectID="_1596294020" r:id="rId12"/>
        </w:object>
      </w:r>
    </w:p>
    <w:p w14:paraId="7F67C99C" w14:textId="77777777" w:rsidR="00B33741" w:rsidRPr="00894041" w:rsidRDefault="00B33741" w:rsidP="00E8010E"/>
    <w:p w14:paraId="1308CC09" w14:textId="1B3A9DBF" w:rsidR="00894041" w:rsidRPr="00894041" w:rsidRDefault="00894041" w:rsidP="00E8010E">
      <w:r>
        <w:t>[</w:t>
      </w:r>
      <w:r w:rsidR="008E2C6E">
        <w:t>499</w:t>
      </w:r>
      <w:r>
        <w:t>]</w:t>
      </w:r>
    </w:p>
    <w:p w14:paraId="29B55761" w14:textId="32C257AB" w:rsidR="00894041" w:rsidRPr="00894041" w:rsidRDefault="00894041" w:rsidP="00E8010E">
      <w:r w:rsidRPr="00894041">
        <w:t>[</w:t>
      </w:r>
      <w:r w:rsidR="008E2C6E">
        <w:t>498</w:t>
      </w:r>
      <w:r w:rsidRPr="00894041">
        <w:t>]</w:t>
      </w:r>
    </w:p>
    <w:p w14:paraId="1C60CF37" w14:textId="77777777" w:rsidR="00E8010E" w:rsidRDefault="00E8010E" w:rsidP="00E8010E">
      <w:pPr>
        <w:rPr>
          <w:color w:val="FF0000"/>
        </w:rPr>
      </w:pPr>
    </w:p>
    <w:p w14:paraId="786873DD" w14:textId="77777777" w:rsidR="00E8010E" w:rsidRDefault="00E8010E" w:rsidP="00E8010E">
      <w:pPr>
        <w:rPr>
          <w:color w:val="FF0000"/>
        </w:rPr>
      </w:pPr>
    </w:p>
    <w:p w14:paraId="5A31E6D6" w14:textId="2B8B5C4D" w:rsidR="00E8010E" w:rsidRDefault="00E8010E" w:rsidP="00E8010E">
      <w:pPr>
        <w:rPr>
          <w:rFonts w:cstheme="minorHAnsi"/>
        </w:rPr>
      </w:pPr>
      <w:r w:rsidRPr="00E8010E">
        <w:t xml:space="preserve">[A] </w:t>
      </w:r>
      <w:r w:rsidRPr="00E8010E">
        <w:rPr>
          <w:rFonts w:cstheme="minorHAnsi"/>
        </w:rPr>
        <w:t xml:space="preserve">ASHRAE </w:t>
      </w:r>
      <w:r w:rsidRPr="000940C5">
        <w:rPr>
          <w:rFonts w:cstheme="minorHAnsi"/>
        </w:rPr>
        <w:t>Standard 90.1-2013</w:t>
      </w:r>
    </w:p>
    <w:sectPr w:rsidR="00E8010E" w:rsidSect="00E87C8F">
      <w:footerReference w:type="default" r:id="rId13"/>
      <w:pgSz w:w="12240" w:h="15840"/>
      <w:pgMar w:top="1440" w:right="1440" w:bottom="1557"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530F0DE" w16cid:durableId="1F16D5D4"/>
  <w16cid:commentId w16cid:paraId="7DE2877A" w16cid:durableId="1F16D661"/>
  <w16cid:commentId w16cid:paraId="25E336AA" w16cid:durableId="1F16DA05"/>
  <w16cid:commentId w16cid:paraId="5E3A697D" w16cid:durableId="1F16D5D6"/>
  <w16cid:commentId w16cid:paraId="429D2843" w16cid:durableId="1F16DF5A"/>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AF65DF" w14:textId="77777777" w:rsidR="008F62A6" w:rsidRDefault="008F62A6" w:rsidP="00447D6E">
      <w:r>
        <w:separator/>
      </w:r>
    </w:p>
    <w:p w14:paraId="06E4085D" w14:textId="77777777" w:rsidR="008F62A6" w:rsidRDefault="008F62A6"/>
  </w:endnote>
  <w:endnote w:type="continuationSeparator" w:id="0">
    <w:p w14:paraId="20EE71C6" w14:textId="77777777" w:rsidR="008F62A6" w:rsidRDefault="008F62A6" w:rsidP="00447D6E">
      <w:r>
        <w:continuationSeparator/>
      </w:r>
    </w:p>
    <w:p w14:paraId="768F8EDF" w14:textId="77777777" w:rsidR="008F62A6" w:rsidRDefault="008F62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309B206A" w:rsidR="008F62A6" w:rsidRDefault="008F62A6" w:rsidP="00F571A6">
    <w:pPr>
      <w:pStyle w:val="Footer"/>
      <w:jc w:val="right"/>
      <w:rPr>
        <w:rFonts w:cstheme="minorHAnsi"/>
        <w:b/>
        <w:sz w:val="36"/>
        <w:szCs w:val="36"/>
      </w:rPr>
    </w:pPr>
    <w:sdt>
      <w:sdtPr>
        <w:rPr>
          <w:rFonts w:cstheme="minorHAnsi"/>
          <w:b/>
          <w:sz w:val="36"/>
          <w:szCs w:val="36"/>
        </w:rPr>
        <w:alias w:val="Date"/>
        <w:tag w:val=""/>
        <w:id w:val="1631975830"/>
        <w:placeholder>
          <w:docPart w:val="F35B0C5DED46403682E831B0B6DC2920"/>
        </w:placeholder>
        <w:dataBinding w:prefixMappings="xmlns:ns0='http://schemas.microsoft.com/office/2006/coverPageProps' " w:xpath="/ns0:CoverPageProperties[1]/ns0:PublishDate[1]" w:storeItemID="{55AF091B-3C7A-41E3-B477-F2FDAA23CFDA}"/>
        <w:date w:fullDate="2018-08-16T00:00:00Z">
          <w:dateFormat w:val="MMMM d, yyyy"/>
          <w:lid w:val="en-US"/>
          <w:storeMappedDataAs w:val="dateTime"/>
          <w:calendar w:val="gregorian"/>
        </w:date>
      </w:sdtPr>
      <w:sdtContent>
        <w:r>
          <w:rPr>
            <w:rFonts w:cstheme="minorHAnsi"/>
            <w:b/>
            <w:sz w:val="36"/>
            <w:szCs w:val="36"/>
          </w:rPr>
          <w:t>August 16, 2018</w:t>
        </w:r>
      </w:sdtContent>
    </w:sdt>
  </w:p>
  <w:p w14:paraId="650DB54B" w14:textId="670C7D5C" w:rsidR="008F62A6" w:rsidRPr="009500DC" w:rsidRDefault="008F62A6"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28C76DD4" w:rsidR="008F62A6" w:rsidRPr="009500DC" w:rsidRDefault="008F62A6"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Content>
        <w:r>
          <w:rPr>
            <w:rFonts w:cstheme="minorHAnsi"/>
            <w:b/>
            <w:sz w:val="20"/>
            <w:szCs w:val="20"/>
          </w:rPr>
          <w:t>SCE17HC060</w:t>
        </w:r>
      </w:sdtContent>
    </w:sdt>
    <w:r>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Content>
        <w:r>
          <w:rPr>
            <w:rFonts w:cstheme="minorHAnsi"/>
            <w:b/>
            <w:sz w:val="20"/>
            <w:szCs w:val="20"/>
          </w:rPr>
          <w:t>Revision 1</w:t>
        </w:r>
      </w:sdtContent>
    </w:sdt>
    <w:r w:rsidRPr="009500DC">
      <w:rPr>
        <w:rFonts w:cstheme="minorHAnsi"/>
        <w:b/>
        <w:sz w:val="20"/>
        <w:szCs w:val="20"/>
      </w:rPr>
      <w:tab/>
    </w:r>
    <w:r w:rsidRPr="009500DC">
      <w:rPr>
        <w:rFonts w:cstheme="minorHAnsi"/>
        <w:b/>
        <w:sz w:val="20"/>
        <w:szCs w:val="20"/>
      </w:rPr>
      <w:fldChar w:fldCharType="begin"/>
    </w:r>
    <w:r w:rsidRPr="009500DC">
      <w:rPr>
        <w:rFonts w:cstheme="minorHAnsi"/>
        <w:b/>
        <w:sz w:val="20"/>
        <w:szCs w:val="20"/>
      </w:rPr>
      <w:instrText xml:space="preserve"> PAGE   \* MERGEFORMAT </w:instrText>
    </w:r>
    <w:r w:rsidRPr="009500DC">
      <w:rPr>
        <w:rFonts w:cstheme="minorHAnsi"/>
        <w:b/>
        <w:sz w:val="20"/>
        <w:szCs w:val="20"/>
      </w:rPr>
      <w:fldChar w:fldCharType="separate"/>
    </w:r>
    <w:r w:rsidR="00C45433">
      <w:rPr>
        <w:rFonts w:cstheme="minorHAnsi"/>
        <w:b/>
        <w:noProof/>
        <w:sz w:val="20"/>
        <w:szCs w:val="20"/>
      </w:rPr>
      <w:t>13</w:t>
    </w:r>
    <w:r w:rsidRPr="009500DC">
      <w:rPr>
        <w:rFonts w:cstheme="minorHAnsi"/>
        <w:b/>
        <w:noProof/>
        <w:sz w:val="20"/>
        <w:szCs w:val="20"/>
      </w:rPr>
      <w:fldChar w:fldCharType="end"/>
    </w:r>
    <w:r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8-08-16T00:00:00Z">
          <w:dateFormat w:val="MMMM d, yyyy"/>
          <w:lid w:val="en-US"/>
          <w:storeMappedDataAs w:val="dateTime"/>
          <w:calendar w:val="gregorian"/>
        </w:date>
      </w:sdtPr>
      <w:sdtContent>
        <w:r>
          <w:rPr>
            <w:rFonts w:cstheme="minorHAnsi"/>
            <w:b/>
            <w:sz w:val="20"/>
            <w:szCs w:val="20"/>
          </w:rPr>
          <w:t>August 16, 2018</w:t>
        </w:r>
      </w:sdtContent>
    </w:sdt>
  </w:p>
  <w:p w14:paraId="43C07EA5" w14:textId="544E4323" w:rsidR="008F62A6" w:rsidRPr="009500DC" w:rsidRDefault="008F62A6"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Content>
        <w:r>
          <w:rPr>
            <w:rFonts w:cstheme="minorHAnsi"/>
            <w:b/>
            <w:sz w:val="20"/>
            <w:szCs w:val="20"/>
          </w:rPr>
          <w:t>Southern California Edison</w:t>
        </w:r>
      </w:sdtContent>
    </w:sdt>
  </w:p>
  <w:p w14:paraId="4AC7586E" w14:textId="77777777" w:rsidR="008F62A6" w:rsidRDefault="008F62A6"/>
  <w:p w14:paraId="5C9861A8" w14:textId="77777777" w:rsidR="008F62A6" w:rsidRDefault="008F62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BBDF1AE" w14:textId="77777777" w:rsidR="008F62A6" w:rsidRDefault="008F62A6" w:rsidP="00447D6E">
      <w:r>
        <w:separator/>
      </w:r>
    </w:p>
    <w:p w14:paraId="30ED5D5B" w14:textId="77777777" w:rsidR="008F62A6" w:rsidRDefault="008F62A6"/>
  </w:footnote>
  <w:footnote w:type="continuationSeparator" w:id="0">
    <w:p w14:paraId="68BF8DF4" w14:textId="77777777" w:rsidR="008F62A6" w:rsidRDefault="008F62A6" w:rsidP="00447D6E">
      <w:r>
        <w:continuationSeparator/>
      </w:r>
    </w:p>
    <w:p w14:paraId="17B5C833" w14:textId="77777777" w:rsidR="008F62A6" w:rsidRDefault="008F62A6"/>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F514C9B"/>
    <w:multiLevelType w:val="hybridMultilevel"/>
    <w:tmpl w:val="D27EA738"/>
    <w:lvl w:ilvl="0" w:tplc="591E2C96">
      <w:start w:val="4"/>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4A7A4B"/>
    <w:multiLevelType w:val="hybridMultilevel"/>
    <w:tmpl w:val="7CAAF69E"/>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3"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A912DD5"/>
    <w:multiLevelType w:val="multilevel"/>
    <w:tmpl w:val="18DE70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DFF5A1A"/>
    <w:multiLevelType w:val="hybridMultilevel"/>
    <w:tmpl w:val="111CBC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6317EB"/>
    <w:multiLevelType w:val="hybridMultilevel"/>
    <w:tmpl w:val="7586EFC6"/>
    <w:lvl w:ilvl="0" w:tplc="8D1AAB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C440252"/>
    <w:multiLevelType w:val="hybridMultilevel"/>
    <w:tmpl w:val="8730CBC6"/>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7E106FF4"/>
    <w:multiLevelType w:val="hybridMultilevel"/>
    <w:tmpl w:val="41107BD0"/>
    <w:lvl w:ilvl="0" w:tplc="8D1AAB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2"/>
  </w:num>
  <w:num w:numId="5">
    <w:abstractNumId w:val="8"/>
  </w:num>
  <w:num w:numId="6">
    <w:abstractNumId w:val="9"/>
  </w:num>
  <w:num w:numId="7">
    <w:abstractNumId w:val="1"/>
  </w:num>
  <w:num w:numId="8">
    <w:abstractNumId w:val="4"/>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4FAC"/>
    <w:rsid w:val="00005902"/>
    <w:rsid w:val="0001002B"/>
    <w:rsid w:val="00010806"/>
    <w:rsid w:val="00013F71"/>
    <w:rsid w:val="00016C63"/>
    <w:rsid w:val="000173BF"/>
    <w:rsid w:val="00024252"/>
    <w:rsid w:val="000245B5"/>
    <w:rsid w:val="00027183"/>
    <w:rsid w:val="00033EA1"/>
    <w:rsid w:val="0003746D"/>
    <w:rsid w:val="0004020F"/>
    <w:rsid w:val="000436CB"/>
    <w:rsid w:val="00052E17"/>
    <w:rsid w:val="00056947"/>
    <w:rsid w:val="00061A8E"/>
    <w:rsid w:val="00062485"/>
    <w:rsid w:val="0006366A"/>
    <w:rsid w:val="00064CB3"/>
    <w:rsid w:val="00066DA8"/>
    <w:rsid w:val="00070BEE"/>
    <w:rsid w:val="00071018"/>
    <w:rsid w:val="00072040"/>
    <w:rsid w:val="0007599C"/>
    <w:rsid w:val="00076DF4"/>
    <w:rsid w:val="00076F51"/>
    <w:rsid w:val="0008524C"/>
    <w:rsid w:val="00086F7F"/>
    <w:rsid w:val="0009074D"/>
    <w:rsid w:val="00092386"/>
    <w:rsid w:val="0009480C"/>
    <w:rsid w:val="0009542A"/>
    <w:rsid w:val="0009592B"/>
    <w:rsid w:val="000968C6"/>
    <w:rsid w:val="000A0D5A"/>
    <w:rsid w:val="000A63C9"/>
    <w:rsid w:val="000B25B3"/>
    <w:rsid w:val="000B3765"/>
    <w:rsid w:val="000B655B"/>
    <w:rsid w:val="000C0000"/>
    <w:rsid w:val="000C18CC"/>
    <w:rsid w:val="000C687D"/>
    <w:rsid w:val="000C7ED1"/>
    <w:rsid w:val="000D588A"/>
    <w:rsid w:val="000D789A"/>
    <w:rsid w:val="000E4B5F"/>
    <w:rsid w:val="000E6424"/>
    <w:rsid w:val="000E6611"/>
    <w:rsid w:val="000E706D"/>
    <w:rsid w:val="000E72E6"/>
    <w:rsid w:val="000F130A"/>
    <w:rsid w:val="000F4FD8"/>
    <w:rsid w:val="00103128"/>
    <w:rsid w:val="00104C60"/>
    <w:rsid w:val="00107242"/>
    <w:rsid w:val="00110E2F"/>
    <w:rsid w:val="00111CC5"/>
    <w:rsid w:val="0011380D"/>
    <w:rsid w:val="00115185"/>
    <w:rsid w:val="001206F7"/>
    <w:rsid w:val="001236C1"/>
    <w:rsid w:val="00133EE8"/>
    <w:rsid w:val="00140B30"/>
    <w:rsid w:val="00143829"/>
    <w:rsid w:val="00145F84"/>
    <w:rsid w:val="00147155"/>
    <w:rsid w:val="00153CB3"/>
    <w:rsid w:val="00154A64"/>
    <w:rsid w:val="00154C3B"/>
    <w:rsid w:val="00160158"/>
    <w:rsid w:val="00165357"/>
    <w:rsid w:val="001722B7"/>
    <w:rsid w:val="001727D9"/>
    <w:rsid w:val="00174BB4"/>
    <w:rsid w:val="00175D14"/>
    <w:rsid w:val="001800D1"/>
    <w:rsid w:val="00180210"/>
    <w:rsid w:val="001811EE"/>
    <w:rsid w:val="00185AD4"/>
    <w:rsid w:val="001979AF"/>
    <w:rsid w:val="001A0EB4"/>
    <w:rsid w:val="001A1A86"/>
    <w:rsid w:val="001A5F62"/>
    <w:rsid w:val="001A70D4"/>
    <w:rsid w:val="001B015E"/>
    <w:rsid w:val="001B2301"/>
    <w:rsid w:val="001B618B"/>
    <w:rsid w:val="001C1338"/>
    <w:rsid w:val="001C3B7E"/>
    <w:rsid w:val="001C4140"/>
    <w:rsid w:val="001C4CBF"/>
    <w:rsid w:val="001C5A94"/>
    <w:rsid w:val="001D2317"/>
    <w:rsid w:val="001D3223"/>
    <w:rsid w:val="001D33EF"/>
    <w:rsid w:val="001D5AB3"/>
    <w:rsid w:val="001E0519"/>
    <w:rsid w:val="001E0829"/>
    <w:rsid w:val="001E1320"/>
    <w:rsid w:val="001E1F14"/>
    <w:rsid w:val="001E556A"/>
    <w:rsid w:val="001F05CE"/>
    <w:rsid w:val="001F1905"/>
    <w:rsid w:val="001F4A65"/>
    <w:rsid w:val="001F4AAF"/>
    <w:rsid w:val="00205C45"/>
    <w:rsid w:val="002068C8"/>
    <w:rsid w:val="0021035B"/>
    <w:rsid w:val="00210805"/>
    <w:rsid w:val="00211153"/>
    <w:rsid w:val="002247EB"/>
    <w:rsid w:val="002317E8"/>
    <w:rsid w:val="0023254A"/>
    <w:rsid w:val="002344FB"/>
    <w:rsid w:val="00236216"/>
    <w:rsid w:val="00237E32"/>
    <w:rsid w:val="002405CD"/>
    <w:rsid w:val="00240B74"/>
    <w:rsid w:val="00243B62"/>
    <w:rsid w:val="0024555F"/>
    <w:rsid w:val="0024675B"/>
    <w:rsid w:val="002469DD"/>
    <w:rsid w:val="00247180"/>
    <w:rsid w:val="00254671"/>
    <w:rsid w:val="00257D36"/>
    <w:rsid w:val="00263C1C"/>
    <w:rsid w:val="002674C4"/>
    <w:rsid w:val="00271415"/>
    <w:rsid w:val="00274FBE"/>
    <w:rsid w:val="002762E1"/>
    <w:rsid w:val="0027741A"/>
    <w:rsid w:val="002811BC"/>
    <w:rsid w:val="00283DE8"/>
    <w:rsid w:val="00285552"/>
    <w:rsid w:val="00285966"/>
    <w:rsid w:val="00285A0D"/>
    <w:rsid w:val="00290A99"/>
    <w:rsid w:val="00290ED8"/>
    <w:rsid w:val="002935E1"/>
    <w:rsid w:val="00296B49"/>
    <w:rsid w:val="002A03FC"/>
    <w:rsid w:val="002A1843"/>
    <w:rsid w:val="002A3D26"/>
    <w:rsid w:val="002A523E"/>
    <w:rsid w:val="002A66A3"/>
    <w:rsid w:val="002B1ADF"/>
    <w:rsid w:val="002B3BFB"/>
    <w:rsid w:val="002B502E"/>
    <w:rsid w:val="002B657B"/>
    <w:rsid w:val="002C2853"/>
    <w:rsid w:val="002C444C"/>
    <w:rsid w:val="002C458F"/>
    <w:rsid w:val="002C6C20"/>
    <w:rsid w:val="002C6C7A"/>
    <w:rsid w:val="002C7F78"/>
    <w:rsid w:val="002D22AB"/>
    <w:rsid w:val="002D4EE3"/>
    <w:rsid w:val="002D5277"/>
    <w:rsid w:val="002D6CD5"/>
    <w:rsid w:val="002D71FA"/>
    <w:rsid w:val="002D73AF"/>
    <w:rsid w:val="002E3415"/>
    <w:rsid w:val="002E3C96"/>
    <w:rsid w:val="002E4FD9"/>
    <w:rsid w:val="002E5B58"/>
    <w:rsid w:val="002F1437"/>
    <w:rsid w:val="002F3943"/>
    <w:rsid w:val="002F3B3A"/>
    <w:rsid w:val="002F4E34"/>
    <w:rsid w:val="002F6A42"/>
    <w:rsid w:val="002F79E7"/>
    <w:rsid w:val="003003EC"/>
    <w:rsid w:val="003035E3"/>
    <w:rsid w:val="0030363A"/>
    <w:rsid w:val="00317970"/>
    <w:rsid w:val="00317EB0"/>
    <w:rsid w:val="00325B95"/>
    <w:rsid w:val="00331662"/>
    <w:rsid w:val="00332700"/>
    <w:rsid w:val="003344AF"/>
    <w:rsid w:val="003358BD"/>
    <w:rsid w:val="00344E88"/>
    <w:rsid w:val="00345D80"/>
    <w:rsid w:val="00346AF4"/>
    <w:rsid w:val="003471D4"/>
    <w:rsid w:val="00350BF1"/>
    <w:rsid w:val="00353C49"/>
    <w:rsid w:val="003540B1"/>
    <w:rsid w:val="0035492A"/>
    <w:rsid w:val="003557E9"/>
    <w:rsid w:val="003560BA"/>
    <w:rsid w:val="003633CE"/>
    <w:rsid w:val="00364CC6"/>
    <w:rsid w:val="003650F6"/>
    <w:rsid w:val="00365BD4"/>
    <w:rsid w:val="0036726C"/>
    <w:rsid w:val="00382BDF"/>
    <w:rsid w:val="003832D2"/>
    <w:rsid w:val="00384237"/>
    <w:rsid w:val="003845E5"/>
    <w:rsid w:val="00393137"/>
    <w:rsid w:val="00393B3B"/>
    <w:rsid w:val="0039586D"/>
    <w:rsid w:val="0039615F"/>
    <w:rsid w:val="00397406"/>
    <w:rsid w:val="003A3170"/>
    <w:rsid w:val="003A360E"/>
    <w:rsid w:val="003D17FF"/>
    <w:rsid w:val="003D2871"/>
    <w:rsid w:val="003D2981"/>
    <w:rsid w:val="003D5B83"/>
    <w:rsid w:val="003E3BB7"/>
    <w:rsid w:val="003E6E47"/>
    <w:rsid w:val="003E7E49"/>
    <w:rsid w:val="003F0623"/>
    <w:rsid w:val="003F0C91"/>
    <w:rsid w:val="003F33DE"/>
    <w:rsid w:val="003F3A41"/>
    <w:rsid w:val="003F493E"/>
    <w:rsid w:val="003F67E9"/>
    <w:rsid w:val="00401031"/>
    <w:rsid w:val="004023B7"/>
    <w:rsid w:val="004045A0"/>
    <w:rsid w:val="00404EC3"/>
    <w:rsid w:val="00405214"/>
    <w:rsid w:val="004060A3"/>
    <w:rsid w:val="0040765F"/>
    <w:rsid w:val="00413CDB"/>
    <w:rsid w:val="00414E91"/>
    <w:rsid w:val="004200FE"/>
    <w:rsid w:val="00421183"/>
    <w:rsid w:val="00421BA6"/>
    <w:rsid w:val="00421C17"/>
    <w:rsid w:val="00421D3C"/>
    <w:rsid w:val="004244CA"/>
    <w:rsid w:val="00426CDE"/>
    <w:rsid w:val="00433EA1"/>
    <w:rsid w:val="00434376"/>
    <w:rsid w:val="00435731"/>
    <w:rsid w:val="00441957"/>
    <w:rsid w:val="00443D32"/>
    <w:rsid w:val="004447C0"/>
    <w:rsid w:val="00446207"/>
    <w:rsid w:val="00446946"/>
    <w:rsid w:val="004469DD"/>
    <w:rsid w:val="004476B2"/>
    <w:rsid w:val="00447CE5"/>
    <w:rsid w:val="00447D6E"/>
    <w:rsid w:val="0045048F"/>
    <w:rsid w:val="0045181B"/>
    <w:rsid w:val="00452133"/>
    <w:rsid w:val="00452C7A"/>
    <w:rsid w:val="004548BB"/>
    <w:rsid w:val="00455997"/>
    <w:rsid w:val="00456B53"/>
    <w:rsid w:val="0046286E"/>
    <w:rsid w:val="004673A2"/>
    <w:rsid w:val="00471234"/>
    <w:rsid w:val="00472250"/>
    <w:rsid w:val="0047437C"/>
    <w:rsid w:val="00477522"/>
    <w:rsid w:val="004778E4"/>
    <w:rsid w:val="00480E7B"/>
    <w:rsid w:val="00481BC3"/>
    <w:rsid w:val="004843E5"/>
    <w:rsid w:val="00484BF6"/>
    <w:rsid w:val="00484C7F"/>
    <w:rsid w:val="004860AA"/>
    <w:rsid w:val="004868EC"/>
    <w:rsid w:val="0049052C"/>
    <w:rsid w:val="00493457"/>
    <w:rsid w:val="00494628"/>
    <w:rsid w:val="0049566B"/>
    <w:rsid w:val="00497338"/>
    <w:rsid w:val="004A1650"/>
    <w:rsid w:val="004A5E40"/>
    <w:rsid w:val="004B1184"/>
    <w:rsid w:val="004B4A3A"/>
    <w:rsid w:val="004B5CE5"/>
    <w:rsid w:val="004B750E"/>
    <w:rsid w:val="004C02CD"/>
    <w:rsid w:val="004C2244"/>
    <w:rsid w:val="004C23F1"/>
    <w:rsid w:val="004D069A"/>
    <w:rsid w:val="004E01F5"/>
    <w:rsid w:val="004E1B66"/>
    <w:rsid w:val="004E285B"/>
    <w:rsid w:val="004E297E"/>
    <w:rsid w:val="004E70D4"/>
    <w:rsid w:val="004E76CA"/>
    <w:rsid w:val="004F09C8"/>
    <w:rsid w:val="004F0CEC"/>
    <w:rsid w:val="004F1698"/>
    <w:rsid w:val="004F7002"/>
    <w:rsid w:val="00500C4E"/>
    <w:rsid w:val="00505CEC"/>
    <w:rsid w:val="0051020F"/>
    <w:rsid w:val="00513CAB"/>
    <w:rsid w:val="0051568C"/>
    <w:rsid w:val="00516CF5"/>
    <w:rsid w:val="00521168"/>
    <w:rsid w:val="00523597"/>
    <w:rsid w:val="00523736"/>
    <w:rsid w:val="00532530"/>
    <w:rsid w:val="00535CA4"/>
    <w:rsid w:val="005417F8"/>
    <w:rsid w:val="00541BC1"/>
    <w:rsid w:val="00544D19"/>
    <w:rsid w:val="005476F6"/>
    <w:rsid w:val="00551D72"/>
    <w:rsid w:val="005540B6"/>
    <w:rsid w:val="005552C3"/>
    <w:rsid w:val="00560934"/>
    <w:rsid w:val="00563E58"/>
    <w:rsid w:val="00564960"/>
    <w:rsid w:val="00570654"/>
    <w:rsid w:val="00570F38"/>
    <w:rsid w:val="005720F2"/>
    <w:rsid w:val="005729C8"/>
    <w:rsid w:val="00572D2F"/>
    <w:rsid w:val="005734A4"/>
    <w:rsid w:val="005775EA"/>
    <w:rsid w:val="00585479"/>
    <w:rsid w:val="00594EF5"/>
    <w:rsid w:val="005A0E53"/>
    <w:rsid w:val="005A1078"/>
    <w:rsid w:val="005A4658"/>
    <w:rsid w:val="005A496B"/>
    <w:rsid w:val="005B28C1"/>
    <w:rsid w:val="005B5C47"/>
    <w:rsid w:val="005B6344"/>
    <w:rsid w:val="005C1C74"/>
    <w:rsid w:val="005C2E48"/>
    <w:rsid w:val="005C3F23"/>
    <w:rsid w:val="005C707B"/>
    <w:rsid w:val="005C7856"/>
    <w:rsid w:val="005D4DD7"/>
    <w:rsid w:val="005E12A9"/>
    <w:rsid w:val="005E6B67"/>
    <w:rsid w:val="005F139E"/>
    <w:rsid w:val="005F69D5"/>
    <w:rsid w:val="00602799"/>
    <w:rsid w:val="00602F18"/>
    <w:rsid w:val="00607C30"/>
    <w:rsid w:val="006110F3"/>
    <w:rsid w:val="00612041"/>
    <w:rsid w:val="006128D9"/>
    <w:rsid w:val="00614AFF"/>
    <w:rsid w:val="00621ABA"/>
    <w:rsid w:val="0062322A"/>
    <w:rsid w:val="0062601B"/>
    <w:rsid w:val="0062628D"/>
    <w:rsid w:val="0063078F"/>
    <w:rsid w:val="00631157"/>
    <w:rsid w:val="00632EF5"/>
    <w:rsid w:val="006404E6"/>
    <w:rsid w:val="0064680F"/>
    <w:rsid w:val="0064729D"/>
    <w:rsid w:val="006476F1"/>
    <w:rsid w:val="00647ABE"/>
    <w:rsid w:val="0065039A"/>
    <w:rsid w:val="006516BA"/>
    <w:rsid w:val="006543ED"/>
    <w:rsid w:val="00664B05"/>
    <w:rsid w:val="00665C04"/>
    <w:rsid w:val="0066682D"/>
    <w:rsid w:val="00671BBB"/>
    <w:rsid w:val="006746FE"/>
    <w:rsid w:val="0067660C"/>
    <w:rsid w:val="00676E9F"/>
    <w:rsid w:val="00680934"/>
    <w:rsid w:val="00680FE6"/>
    <w:rsid w:val="00681ABC"/>
    <w:rsid w:val="00685D5C"/>
    <w:rsid w:val="00690673"/>
    <w:rsid w:val="0069264D"/>
    <w:rsid w:val="00693D2C"/>
    <w:rsid w:val="006956D4"/>
    <w:rsid w:val="0069578B"/>
    <w:rsid w:val="00695876"/>
    <w:rsid w:val="00697868"/>
    <w:rsid w:val="006A055F"/>
    <w:rsid w:val="006A126F"/>
    <w:rsid w:val="006A14E9"/>
    <w:rsid w:val="006A2A65"/>
    <w:rsid w:val="006A5293"/>
    <w:rsid w:val="006A67E4"/>
    <w:rsid w:val="006A6D15"/>
    <w:rsid w:val="006B0DF3"/>
    <w:rsid w:val="006B0F11"/>
    <w:rsid w:val="006B27FA"/>
    <w:rsid w:val="006B4A48"/>
    <w:rsid w:val="006C2C55"/>
    <w:rsid w:val="006C430A"/>
    <w:rsid w:val="006C4D1B"/>
    <w:rsid w:val="006D2809"/>
    <w:rsid w:val="006E0B87"/>
    <w:rsid w:val="006E1790"/>
    <w:rsid w:val="006E27A3"/>
    <w:rsid w:val="006E3342"/>
    <w:rsid w:val="006E3A84"/>
    <w:rsid w:val="006E4B12"/>
    <w:rsid w:val="006E65D0"/>
    <w:rsid w:val="006E7F55"/>
    <w:rsid w:val="006F1B21"/>
    <w:rsid w:val="006F21E8"/>
    <w:rsid w:val="006F78D5"/>
    <w:rsid w:val="0070091B"/>
    <w:rsid w:val="007048AC"/>
    <w:rsid w:val="00706C27"/>
    <w:rsid w:val="007126A2"/>
    <w:rsid w:val="00713A71"/>
    <w:rsid w:val="007166AE"/>
    <w:rsid w:val="00726338"/>
    <w:rsid w:val="00726AD5"/>
    <w:rsid w:val="00732904"/>
    <w:rsid w:val="00732DC7"/>
    <w:rsid w:val="00733C7D"/>
    <w:rsid w:val="00735C4C"/>
    <w:rsid w:val="00737496"/>
    <w:rsid w:val="00740761"/>
    <w:rsid w:val="00745992"/>
    <w:rsid w:val="00745F77"/>
    <w:rsid w:val="007464DE"/>
    <w:rsid w:val="007471FE"/>
    <w:rsid w:val="0074742A"/>
    <w:rsid w:val="0075091F"/>
    <w:rsid w:val="007529EA"/>
    <w:rsid w:val="00752D32"/>
    <w:rsid w:val="00755A45"/>
    <w:rsid w:val="00756BDA"/>
    <w:rsid w:val="007606D3"/>
    <w:rsid w:val="00760CDC"/>
    <w:rsid w:val="00764D0D"/>
    <w:rsid w:val="00764EFA"/>
    <w:rsid w:val="00765265"/>
    <w:rsid w:val="00766895"/>
    <w:rsid w:val="00770F5D"/>
    <w:rsid w:val="00777C53"/>
    <w:rsid w:val="00786E92"/>
    <w:rsid w:val="007933F1"/>
    <w:rsid w:val="007A1DDE"/>
    <w:rsid w:val="007A5F52"/>
    <w:rsid w:val="007A68B0"/>
    <w:rsid w:val="007B090A"/>
    <w:rsid w:val="007B497A"/>
    <w:rsid w:val="007B62F4"/>
    <w:rsid w:val="007B7F78"/>
    <w:rsid w:val="007C0CFC"/>
    <w:rsid w:val="007E17A5"/>
    <w:rsid w:val="007E2E65"/>
    <w:rsid w:val="007E43F8"/>
    <w:rsid w:val="007E46DA"/>
    <w:rsid w:val="007E5076"/>
    <w:rsid w:val="007E656B"/>
    <w:rsid w:val="007F2997"/>
    <w:rsid w:val="007F38B6"/>
    <w:rsid w:val="007F50E8"/>
    <w:rsid w:val="007F54E2"/>
    <w:rsid w:val="007F6122"/>
    <w:rsid w:val="007F6C16"/>
    <w:rsid w:val="007F7FBA"/>
    <w:rsid w:val="00800319"/>
    <w:rsid w:val="0080044E"/>
    <w:rsid w:val="00800706"/>
    <w:rsid w:val="0080189A"/>
    <w:rsid w:val="00801F7F"/>
    <w:rsid w:val="00803C2B"/>
    <w:rsid w:val="00804F8E"/>
    <w:rsid w:val="008065D5"/>
    <w:rsid w:val="00811945"/>
    <w:rsid w:val="00814847"/>
    <w:rsid w:val="00824F1C"/>
    <w:rsid w:val="00826688"/>
    <w:rsid w:val="0083084F"/>
    <w:rsid w:val="0083369B"/>
    <w:rsid w:val="00835D38"/>
    <w:rsid w:val="00843763"/>
    <w:rsid w:val="008451F7"/>
    <w:rsid w:val="00845718"/>
    <w:rsid w:val="00847A4E"/>
    <w:rsid w:val="00852F36"/>
    <w:rsid w:val="00856360"/>
    <w:rsid w:val="00871089"/>
    <w:rsid w:val="00871871"/>
    <w:rsid w:val="00871D79"/>
    <w:rsid w:val="0087393E"/>
    <w:rsid w:val="00873AA3"/>
    <w:rsid w:val="00876CF5"/>
    <w:rsid w:val="00881A42"/>
    <w:rsid w:val="00882386"/>
    <w:rsid w:val="0088361D"/>
    <w:rsid w:val="00885E0A"/>
    <w:rsid w:val="0088603B"/>
    <w:rsid w:val="008877AF"/>
    <w:rsid w:val="00893FC3"/>
    <w:rsid w:val="00894041"/>
    <w:rsid w:val="00894AD2"/>
    <w:rsid w:val="0089577B"/>
    <w:rsid w:val="008A412F"/>
    <w:rsid w:val="008A4345"/>
    <w:rsid w:val="008B1024"/>
    <w:rsid w:val="008B1357"/>
    <w:rsid w:val="008B2DF3"/>
    <w:rsid w:val="008C2E0E"/>
    <w:rsid w:val="008C4DE0"/>
    <w:rsid w:val="008D3930"/>
    <w:rsid w:val="008D67F9"/>
    <w:rsid w:val="008E17CC"/>
    <w:rsid w:val="008E25B1"/>
    <w:rsid w:val="008E2C6E"/>
    <w:rsid w:val="008E56FB"/>
    <w:rsid w:val="008F2167"/>
    <w:rsid w:val="008F33B4"/>
    <w:rsid w:val="008F6298"/>
    <w:rsid w:val="008F62A6"/>
    <w:rsid w:val="008F68D9"/>
    <w:rsid w:val="008F6B64"/>
    <w:rsid w:val="0090077A"/>
    <w:rsid w:val="00900F47"/>
    <w:rsid w:val="00904ADA"/>
    <w:rsid w:val="00905033"/>
    <w:rsid w:val="00907697"/>
    <w:rsid w:val="00910A69"/>
    <w:rsid w:val="009138A0"/>
    <w:rsid w:val="0091424C"/>
    <w:rsid w:val="009175EE"/>
    <w:rsid w:val="00917DE4"/>
    <w:rsid w:val="00917F20"/>
    <w:rsid w:val="00920905"/>
    <w:rsid w:val="00922B85"/>
    <w:rsid w:val="00923D74"/>
    <w:rsid w:val="00925144"/>
    <w:rsid w:val="00930CDC"/>
    <w:rsid w:val="00931E45"/>
    <w:rsid w:val="00933188"/>
    <w:rsid w:val="00935AF9"/>
    <w:rsid w:val="009403A5"/>
    <w:rsid w:val="00941F49"/>
    <w:rsid w:val="009500DC"/>
    <w:rsid w:val="00950610"/>
    <w:rsid w:val="00951923"/>
    <w:rsid w:val="00955EB2"/>
    <w:rsid w:val="009567AA"/>
    <w:rsid w:val="009602C8"/>
    <w:rsid w:val="00963661"/>
    <w:rsid w:val="009640DD"/>
    <w:rsid w:val="00965037"/>
    <w:rsid w:val="00972C81"/>
    <w:rsid w:val="009779C3"/>
    <w:rsid w:val="009824E9"/>
    <w:rsid w:val="009826E5"/>
    <w:rsid w:val="009844A1"/>
    <w:rsid w:val="00986E20"/>
    <w:rsid w:val="009874B7"/>
    <w:rsid w:val="00995479"/>
    <w:rsid w:val="00995CB0"/>
    <w:rsid w:val="00997E77"/>
    <w:rsid w:val="009A2734"/>
    <w:rsid w:val="009A2983"/>
    <w:rsid w:val="009A3DF0"/>
    <w:rsid w:val="009A6B38"/>
    <w:rsid w:val="009B2A02"/>
    <w:rsid w:val="009B2B61"/>
    <w:rsid w:val="009B4218"/>
    <w:rsid w:val="009B5B7B"/>
    <w:rsid w:val="009C1777"/>
    <w:rsid w:val="009C2C86"/>
    <w:rsid w:val="009C6FE0"/>
    <w:rsid w:val="009D0753"/>
    <w:rsid w:val="009D10A4"/>
    <w:rsid w:val="009D2A05"/>
    <w:rsid w:val="009D5131"/>
    <w:rsid w:val="009D6F71"/>
    <w:rsid w:val="009E1802"/>
    <w:rsid w:val="009E1CDE"/>
    <w:rsid w:val="009E2B06"/>
    <w:rsid w:val="009E3829"/>
    <w:rsid w:val="009E51E2"/>
    <w:rsid w:val="009F08A2"/>
    <w:rsid w:val="009F7A61"/>
    <w:rsid w:val="00A01846"/>
    <w:rsid w:val="00A05309"/>
    <w:rsid w:val="00A063E6"/>
    <w:rsid w:val="00A11800"/>
    <w:rsid w:val="00A11C16"/>
    <w:rsid w:val="00A13707"/>
    <w:rsid w:val="00A1423E"/>
    <w:rsid w:val="00A17664"/>
    <w:rsid w:val="00A20FAF"/>
    <w:rsid w:val="00A212E9"/>
    <w:rsid w:val="00A24520"/>
    <w:rsid w:val="00A26829"/>
    <w:rsid w:val="00A27F87"/>
    <w:rsid w:val="00A3164A"/>
    <w:rsid w:val="00A37F42"/>
    <w:rsid w:val="00A4411F"/>
    <w:rsid w:val="00A46210"/>
    <w:rsid w:val="00A500D6"/>
    <w:rsid w:val="00A523FF"/>
    <w:rsid w:val="00A52DC6"/>
    <w:rsid w:val="00A54756"/>
    <w:rsid w:val="00A5494C"/>
    <w:rsid w:val="00A54C66"/>
    <w:rsid w:val="00A54E7D"/>
    <w:rsid w:val="00A57D36"/>
    <w:rsid w:val="00A615E2"/>
    <w:rsid w:val="00A61BB6"/>
    <w:rsid w:val="00A65734"/>
    <w:rsid w:val="00A6687F"/>
    <w:rsid w:val="00A67907"/>
    <w:rsid w:val="00A70646"/>
    <w:rsid w:val="00A73071"/>
    <w:rsid w:val="00A73CC1"/>
    <w:rsid w:val="00A80270"/>
    <w:rsid w:val="00A82DB1"/>
    <w:rsid w:val="00A84127"/>
    <w:rsid w:val="00A84BF9"/>
    <w:rsid w:val="00A86DA2"/>
    <w:rsid w:val="00A87341"/>
    <w:rsid w:val="00A90DFC"/>
    <w:rsid w:val="00A90F1A"/>
    <w:rsid w:val="00A91BF3"/>
    <w:rsid w:val="00AA0A9C"/>
    <w:rsid w:val="00AA16C0"/>
    <w:rsid w:val="00AA4C79"/>
    <w:rsid w:val="00AA4CDC"/>
    <w:rsid w:val="00AB21D4"/>
    <w:rsid w:val="00AB21F5"/>
    <w:rsid w:val="00AB3386"/>
    <w:rsid w:val="00AB36DB"/>
    <w:rsid w:val="00AC0B1D"/>
    <w:rsid w:val="00AC2F5B"/>
    <w:rsid w:val="00AC3DAD"/>
    <w:rsid w:val="00AC5309"/>
    <w:rsid w:val="00AC5B97"/>
    <w:rsid w:val="00AD0564"/>
    <w:rsid w:val="00AD4DD0"/>
    <w:rsid w:val="00AD648B"/>
    <w:rsid w:val="00AE0265"/>
    <w:rsid w:val="00AE0A8D"/>
    <w:rsid w:val="00AE3DD5"/>
    <w:rsid w:val="00AE5D7F"/>
    <w:rsid w:val="00AE6176"/>
    <w:rsid w:val="00AE670F"/>
    <w:rsid w:val="00AF6342"/>
    <w:rsid w:val="00B053FB"/>
    <w:rsid w:val="00B05647"/>
    <w:rsid w:val="00B07EE5"/>
    <w:rsid w:val="00B21CC5"/>
    <w:rsid w:val="00B22D89"/>
    <w:rsid w:val="00B26778"/>
    <w:rsid w:val="00B26B83"/>
    <w:rsid w:val="00B32479"/>
    <w:rsid w:val="00B33741"/>
    <w:rsid w:val="00B33FE2"/>
    <w:rsid w:val="00B34879"/>
    <w:rsid w:val="00B403ED"/>
    <w:rsid w:val="00B4065F"/>
    <w:rsid w:val="00B44D93"/>
    <w:rsid w:val="00B45091"/>
    <w:rsid w:val="00B45447"/>
    <w:rsid w:val="00B504D6"/>
    <w:rsid w:val="00B53DE7"/>
    <w:rsid w:val="00B54D05"/>
    <w:rsid w:val="00B614F1"/>
    <w:rsid w:val="00B61EA4"/>
    <w:rsid w:val="00B61FC5"/>
    <w:rsid w:val="00B6403E"/>
    <w:rsid w:val="00B73276"/>
    <w:rsid w:val="00B74338"/>
    <w:rsid w:val="00B801C6"/>
    <w:rsid w:val="00B84600"/>
    <w:rsid w:val="00B866B4"/>
    <w:rsid w:val="00B94226"/>
    <w:rsid w:val="00BA0A8C"/>
    <w:rsid w:val="00BA0CEB"/>
    <w:rsid w:val="00BA2383"/>
    <w:rsid w:val="00BA2E7E"/>
    <w:rsid w:val="00BA590A"/>
    <w:rsid w:val="00BA5FE4"/>
    <w:rsid w:val="00BB0B39"/>
    <w:rsid w:val="00BB30D1"/>
    <w:rsid w:val="00BB39D8"/>
    <w:rsid w:val="00BB5F75"/>
    <w:rsid w:val="00BC6524"/>
    <w:rsid w:val="00BD1085"/>
    <w:rsid w:val="00BD18C6"/>
    <w:rsid w:val="00BD3931"/>
    <w:rsid w:val="00BD5B88"/>
    <w:rsid w:val="00BD5F58"/>
    <w:rsid w:val="00BD7F18"/>
    <w:rsid w:val="00BE0AEB"/>
    <w:rsid w:val="00BF03E9"/>
    <w:rsid w:val="00C00A11"/>
    <w:rsid w:val="00C018E0"/>
    <w:rsid w:val="00C05AAF"/>
    <w:rsid w:val="00C10FD4"/>
    <w:rsid w:val="00C118C7"/>
    <w:rsid w:val="00C11E24"/>
    <w:rsid w:val="00C20877"/>
    <w:rsid w:val="00C20E7B"/>
    <w:rsid w:val="00C21456"/>
    <w:rsid w:val="00C214B8"/>
    <w:rsid w:val="00C24D03"/>
    <w:rsid w:val="00C25E61"/>
    <w:rsid w:val="00C27118"/>
    <w:rsid w:val="00C35A1B"/>
    <w:rsid w:val="00C371DB"/>
    <w:rsid w:val="00C413F3"/>
    <w:rsid w:val="00C44B66"/>
    <w:rsid w:val="00C45433"/>
    <w:rsid w:val="00C54EFF"/>
    <w:rsid w:val="00C55D03"/>
    <w:rsid w:val="00C572CA"/>
    <w:rsid w:val="00C6046F"/>
    <w:rsid w:val="00C63548"/>
    <w:rsid w:val="00C63F96"/>
    <w:rsid w:val="00C65450"/>
    <w:rsid w:val="00C677AF"/>
    <w:rsid w:val="00C67A49"/>
    <w:rsid w:val="00C67E59"/>
    <w:rsid w:val="00C72B8B"/>
    <w:rsid w:val="00C72CB5"/>
    <w:rsid w:val="00C745CB"/>
    <w:rsid w:val="00C74F46"/>
    <w:rsid w:val="00C76D4F"/>
    <w:rsid w:val="00C805BC"/>
    <w:rsid w:val="00C870D7"/>
    <w:rsid w:val="00C959CA"/>
    <w:rsid w:val="00C95D16"/>
    <w:rsid w:val="00CA2AB4"/>
    <w:rsid w:val="00CB0100"/>
    <w:rsid w:val="00CB04D2"/>
    <w:rsid w:val="00CC0629"/>
    <w:rsid w:val="00CC0731"/>
    <w:rsid w:val="00CD7EFE"/>
    <w:rsid w:val="00CE0C66"/>
    <w:rsid w:val="00CE28CF"/>
    <w:rsid w:val="00CE327F"/>
    <w:rsid w:val="00CE4386"/>
    <w:rsid w:val="00CE4CDC"/>
    <w:rsid w:val="00CE5BEB"/>
    <w:rsid w:val="00CE6299"/>
    <w:rsid w:val="00CE69E9"/>
    <w:rsid w:val="00CE71F2"/>
    <w:rsid w:val="00CF3F65"/>
    <w:rsid w:val="00CF464D"/>
    <w:rsid w:val="00D01E37"/>
    <w:rsid w:val="00D06765"/>
    <w:rsid w:val="00D17EF4"/>
    <w:rsid w:val="00D23770"/>
    <w:rsid w:val="00D25074"/>
    <w:rsid w:val="00D34411"/>
    <w:rsid w:val="00D34517"/>
    <w:rsid w:val="00D36345"/>
    <w:rsid w:val="00D36798"/>
    <w:rsid w:val="00D47E80"/>
    <w:rsid w:val="00D515CF"/>
    <w:rsid w:val="00D56D2C"/>
    <w:rsid w:val="00D70563"/>
    <w:rsid w:val="00D70D89"/>
    <w:rsid w:val="00D72051"/>
    <w:rsid w:val="00D7380B"/>
    <w:rsid w:val="00D75D77"/>
    <w:rsid w:val="00D7639E"/>
    <w:rsid w:val="00D8023E"/>
    <w:rsid w:val="00D8176E"/>
    <w:rsid w:val="00D823DE"/>
    <w:rsid w:val="00D835EF"/>
    <w:rsid w:val="00D85F09"/>
    <w:rsid w:val="00D86A9D"/>
    <w:rsid w:val="00D95C3F"/>
    <w:rsid w:val="00DA089A"/>
    <w:rsid w:val="00DA11A0"/>
    <w:rsid w:val="00DA1726"/>
    <w:rsid w:val="00DA2822"/>
    <w:rsid w:val="00DA690B"/>
    <w:rsid w:val="00DA7225"/>
    <w:rsid w:val="00DB44E9"/>
    <w:rsid w:val="00DB564F"/>
    <w:rsid w:val="00DC1931"/>
    <w:rsid w:val="00DC1966"/>
    <w:rsid w:val="00DC2B31"/>
    <w:rsid w:val="00DC3259"/>
    <w:rsid w:val="00DD027F"/>
    <w:rsid w:val="00DD0523"/>
    <w:rsid w:val="00DD12FA"/>
    <w:rsid w:val="00DE5758"/>
    <w:rsid w:val="00DE5862"/>
    <w:rsid w:val="00DE5FCF"/>
    <w:rsid w:val="00DF08E7"/>
    <w:rsid w:val="00DF0AE4"/>
    <w:rsid w:val="00DF0D19"/>
    <w:rsid w:val="00DF29CC"/>
    <w:rsid w:val="00DF2EE9"/>
    <w:rsid w:val="00DF6FD8"/>
    <w:rsid w:val="00E025C2"/>
    <w:rsid w:val="00E05A80"/>
    <w:rsid w:val="00E06A37"/>
    <w:rsid w:val="00E071A5"/>
    <w:rsid w:val="00E07752"/>
    <w:rsid w:val="00E163D5"/>
    <w:rsid w:val="00E16609"/>
    <w:rsid w:val="00E16F08"/>
    <w:rsid w:val="00E233F3"/>
    <w:rsid w:val="00E253E8"/>
    <w:rsid w:val="00E26B34"/>
    <w:rsid w:val="00E314BA"/>
    <w:rsid w:val="00E325BE"/>
    <w:rsid w:val="00E326BA"/>
    <w:rsid w:val="00E34202"/>
    <w:rsid w:val="00E37F72"/>
    <w:rsid w:val="00E40BE5"/>
    <w:rsid w:val="00E40CF9"/>
    <w:rsid w:val="00E42A30"/>
    <w:rsid w:val="00E44885"/>
    <w:rsid w:val="00E5625D"/>
    <w:rsid w:val="00E57554"/>
    <w:rsid w:val="00E604BF"/>
    <w:rsid w:val="00E648BB"/>
    <w:rsid w:val="00E67ACA"/>
    <w:rsid w:val="00E7090A"/>
    <w:rsid w:val="00E76B31"/>
    <w:rsid w:val="00E8010E"/>
    <w:rsid w:val="00E8094D"/>
    <w:rsid w:val="00E81F3E"/>
    <w:rsid w:val="00E836D5"/>
    <w:rsid w:val="00E844BB"/>
    <w:rsid w:val="00E84C48"/>
    <w:rsid w:val="00E85826"/>
    <w:rsid w:val="00E859BD"/>
    <w:rsid w:val="00E86B70"/>
    <w:rsid w:val="00E87C8F"/>
    <w:rsid w:val="00E924C3"/>
    <w:rsid w:val="00E954EE"/>
    <w:rsid w:val="00E96759"/>
    <w:rsid w:val="00EA4437"/>
    <w:rsid w:val="00EA4D87"/>
    <w:rsid w:val="00EA4EA2"/>
    <w:rsid w:val="00EB33AA"/>
    <w:rsid w:val="00EB34FC"/>
    <w:rsid w:val="00EB76E1"/>
    <w:rsid w:val="00EC0969"/>
    <w:rsid w:val="00EC2499"/>
    <w:rsid w:val="00EC34F1"/>
    <w:rsid w:val="00EC3B32"/>
    <w:rsid w:val="00EE29DF"/>
    <w:rsid w:val="00EE4120"/>
    <w:rsid w:val="00EE6CFD"/>
    <w:rsid w:val="00EF11EC"/>
    <w:rsid w:val="00EF2E8A"/>
    <w:rsid w:val="00EF4E6B"/>
    <w:rsid w:val="00EF5416"/>
    <w:rsid w:val="00F06CCF"/>
    <w:rsid w:val="00F0782E"/>
    <w:rsid w:val="00F1053D"/>
    <w:rsid w:val="00F110D5"/>
    <w:rsid w:val="00F113AD"/>
    <w:rsid w:val="00F11E63"/>
    <w:rsid w:val="00F12733"/>
    <w:rsid w:val="00F171E1"/>
    <w:rsid w:val="00F20314"/>
    <w:rsid w:val="00F20DCF"/>
    <w:rsid w:val="00F25B36"/>
    <w:rsid w:val="00F3052A"/>
    <w:rsid w:val="00F33D38"/>
    <w:rsid w:val="00F341E3"/>
    <w:rsid w:val="00F35D09"/>
    <w:rsid w:val="00F373FB"/>
    <w:rsid w:val="00F4304D"/>
    <w:rsid w:val="00F46612"/>
    <w:rsid w:val="00F474EF"/>
    <w:rsid w:val="00F4752B"/>
    <w:rsid w:val="00F476E8"/>
    <w:rsid w:val="00F50D45"/>
    <w:rsid w:val="00F541AE"/>
    <w:rsid w:val="00F56792"/>
    <w:rsid w:val="00F571A6"/>
    <w:rsid w:val="00F6018B"/>
    <w:rsid w:val="00F60265"/>
    <w:rsid w:val="00F60E32"/>
    <w:rsid w:val="00F644FF"/>
    <w:rsid w:val="00F65ABA"/>
    <w:rsid w:val="00F65E15"/>
    <w:rsid w:val="00F6775F"/>
    <w:rsid w:val="00F7242E"/>
    <w:rsid w:val="00F74B33"/>
    <w:rsid w:val="00F810DD"/>
    <w:rsid w:val="00F84D87"/>
    <w:rsid w:val="00F94697"/>
    <w:rsid w:val="00F95E2F"/>
    <w:rsid w:val="00F96DEB"/>
    <w:rsid w:val="00FA1872"/>
    <w:rsid w:val="00FA1C94"/>
    <w:rsid w:val="00FA4F34"/>
    <w:rsid w:val="00FB2590"/>
    <w:rsid w:val="00FC02A4"/>
    <w:rsid w:val="00FD5A8C"/>
    <w:rsid w:val="00FD6987"/>
    <w:rsid w:val="00FE286E"/>
    <w:rsid w:val="00FE3233"/>
    <w:rsid w:val="00FE3578"/>
    <w:rsid w:val="00FE4C68"/>
    <w:rsid w:val="00FE5FAF"/>
    <w:rsid w:val="00FE6D74"/>
    <w:rsid w:val="00FF6028"/>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F77E0EA"/>
  <w15:docId w15:val="{C31384D0-0CB6-42BF-83A5-C6C96D579C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rsid w:val="00E16609"/>
    <w:pPr>
      <w:spacing w:before="40" w:after="40"/>
    </w:pPr>
    <w:rPr>
      <w:rFonts w:ascii="Trebuchet MS" w:hAnsi="Trebuchet MS"/>
      <w:i/>
      <w:color w:val="FF0000"/>
    </w:rPr>
  </w:style>
  <w:style w:type="paragraph" w:customStyle="1" w:styleId="Reminder">
    <w:name w:val="Reminder"/>
    <w:basedOn w:val="Reminders"/>
    <w:link w:val="ReminderChar"/>
    <w:rsid w:val="00E16609"/>
  </w:style>
  <w:style w:type="character" w:customStyle="1" w:styleId="RemindersChar">
    <w:name w:val="Reminders Char"/>
    <w:basedOn w:val="DefaultParagraphFont"/>
    <w:link w:val="Reminders"/>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qFormat/>
    <w:rsid w:val="00E16609"/>
    <w:rPr>
      <w:b/>
      <w:bCs/>
      <w:szCs w:val="3276"/>
    </w:rPr>
  </w:style>
  <w:style w:type="character" w:customStyle="1" w:styleId="CaptionChar">
    <w:name w:val="Caption Char"/>
    <w:basedOn w:val="DefaultParagraphFont"/>
    <w:link w:val="Caption"/>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unhideWhenUsed/>
    <w:rsid w:val="00147155"/>
    <w:rPr>
      <w:sz w:val="20"/>
      <w:szCs w:val="20"/>
    </w:rPr>
  </w:style>
  <w:style w:type="character" w:customStyle="1" w:styleId="CommentTextChar">
    <w:name w:val="Comment Text Char"/>
    <w:basedOn w:val="DefaultParagraphFont"/>
    <w:link w:val="CommentText"/>
    <w:uiPriority w:val="99"/>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34"/>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table" w:styleId="MediumList1">
    <w:name w:val="Medium List 1"/>
    <w:basedOn w:val="TableNormal"/>
    <w:uiPriority w:val="65"/>
    <w:rsid w:val="007652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styleId="Title">
    <w:name w:val="Title"/>
    <w:basedOn w:val="Normal"/>
    <w:next w:val="Normal"/>
    <w:link w:val="TitleChar1"/>
    <w:uiPriority w:val="10"/>
    <w:qFormat/>
    <w:rsid w:val="0076526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basedOn w:val="DefaultParagraphFont"/>
    <w:link w:val="Title"/>
    <w:uiPriority w:val="10"/>
    <w:rsid w:val="00765265"/>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765265"/>
    <w:pPr>
      <w:autoSpaceDE w:val="0"/>
      <w:autoSpaceDN w:val="0"/>
      <w:adjustRightInd w:val="0"/>
      <w:spacing w:after="0" w:line="240" w:lineRule="auto"/>
    </w:pPr>
    <w:rPr>
      <w:rFonts w:ascii="Arial" w:eastAsia="Calibri"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154223">
      <w:bodyDiv w:val="1"/>
      <w:marLeft w:val="0"/>
      <w:marRight w:val="0"/>
      <w:marTop w:val="0"/>
      <w:marBottom w:val="0"/>
      <w:divBdr>
        <w:top w:val="none" w:sz="0" w:space="0" w:color="auto"/>
        <w:left w:val="none" w:sz="0" w:space="0" w:color="auto"/>
        <w:bottom w:val="none" w:sz="0" w:space="0" w:color="auto"/>
        <w:right w:val="none" w:sz="0" w:space="0" w:color="auto"/>
      </w:divBdr>
    </w:div>
    <w:div w:id="536088298">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190989799">
      <w:bodyDiv w:val="1"/>
      <w:marLeft w:val="0"/>
      <w:marRight w:val="0"/>
      <w:marTop w:val="0"/>
      <w:marBottom w:val="0"/>
      <w:divBdr>
        <w:top w:val="none" w:sz="0" w:space="0" w:color="auto"/>
        <w:left w:val="none" w:sz="0" w:space="0" w:color="auto"/>
        <w:bottom w:val="none" w:sz="0" w:space="0" w:color="auto"/>
        <w:right w:val="none" w:sz="0" w:space="0" w:color="auto"/>
      </w:divBdr>
    </w:div>
    <w:div w:id="207435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package" Target="embeddings/Microsoft_Excel_Worksheet1.xlsx"/><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yperlink" Target="http://www.caltf.org/" TargetMode="Externa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191C0A"/>
    <w:rsid w:val="00204A7F"/>
    <w:rsid w:val="00216FB9"/>
    <w:rsid w:val="002568FC"/>
    <w:rsid w:val="002B514B"/>
    <w:rsid w:val="002C0C03"/>
    <w:rsid w:val="00311510"/>
    <w:rsid w:val="00311B0D"/>
    <w:rsid w:val="0034682F"/>
    <w:rsid w:val="003A131F"/>
    <w:rsid w:val="003E7567"/>
    <w:rsid w:val="00420FDC"/>
    <w:rsid w:val="0048388E"/>
    <w:rsid w:val="004A5070"/>
    <w:rsid w:val="004F7AA1"/>
    <w:rsid w:val="00544688"/>
    <w:rsid w:val="00560392"/>
    <w:rsid w:val="005D1621"/>
    <w:rsid w:val="00650521"/>
    <w:rsid w:val="006835E0"/>
    <w:rsid w:val="006B7FA8"/>
    <w:rsid w:val="007327A2"/>
    <w:rsid w:val="008211B5"/>
    <w:rsid w:val="0085678A"/>
    <w:rsid w:val="00874653"/>
    <w:rsid w:val="00997498"/>
    <w:rsid w:val="009A46DA"/>
    <w:rsid w:val="009D7337"/>
    <w:rsid w:val="009F1ABE"/>
    <w:rsid w:val="00A20F66"/>
    <w:rsid w:val="00A5022A"/>
    <w:rsid w:val="00AB5465"/>
    <w:rsid w:val="00AB5904"/>
    <w:rsid w:val="00AE4C28"/>
    <w:rsid w:val="00AF2C4B"/>
    <w:rsid w:val="00B4292A"/>
    <w:rsid w:val="00B73964"/>
    <w:rsid w:val="00B74704"/>
    <w:rsid w:val="00BA3C8B"/>
    <w:rsid w:val="00BB7AB6"/>
    <w:rsid w:val="00BE56AA"/>
    <w:rsid w:val="00C7461E"/>
    <w:rsid w:val="00C947B8"/>
    <w:rsid w:val="00C96553"/>
    <w:rsid w:val="00CC411D"/>
    <w:rsid w:val="00CE083D"/>
    <w:rsid w:val="00D016AC"/>
    <w:rsid w:val="00D0496D"/>
    <w:rsid w:val="00D051F5"/>
    <w:rsid w:val="00DC365B"/>
    <w:rsid w:val="00EC59D9"/>
    <w:rsid w:val="00F70396"/>
    <w:rsid w:val="00F7350A"/>
    <w:rsid w:val="00F743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2018-08-16T00:00:00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31E7813-0FA8-4FF8-A6E2-8280EFC26D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2792</Words>
  <Characters>15917</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SCE17HC060</vt:lpstr>
    </vt:vector>
  </TitlesOfParts>
  <Company>Southern California Edison</Company>
  <LinksUpToDate>false</LinksUpToDate>
  <CharactersWithSpaces>18672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SCE17HC060</dc:title>
  <dc:creator>Jim Wyatt (PG&amp;E);Jason Wang (SCE)</dc:creator>
  <cp:lastModifiedBy>Cassie Cuaresma</cp:lastModifiedBy>
  <cp:revision>3</cp:revision>
  <dcterms:created xsi:type="dcterms:W3CDTF">2018-08-21T01:12:00Z</dcterms:created>
  <dcterms:modified xsi:type="dcterms:W3CDTF">2018-08-21T01:14:00Z</dcterms:modified>
  <cp:contentStatus>Revision 1</cp:contentStatus>
</cp:coreProperties>
</file>